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w:t>
      </w:r>
      <w:r>
        <w:rPr>
          <w:rFonts w:hint="eastAsia" w:ascii="Times New Roman" w:hAnsi="Times New Roman" w:eastAsia="方正小标宋_GBK" w:cs="Times New Roman"/>
          <w:sz w:val="44"/>
          <w:szCs w:val="44"/>
        </w:rPr>
        <w:t>女子职业技术学院</w:t>
      </w:r>
    </w:p>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8</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说明</w:t>
      </w:r>
    </w:p>
    <w:p>
      <w:pPr>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按照</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中华人民共和国</w:t>
      </w:r>
      <w:r>
        <w:rPr>
          <w:rFonts w:hint="eastAsia" w:ascii="华文仿宋" w:hAnsi="华文仿宋" w:eastAsia="华文仿宋" w:cs="Times New Roman"/>
          <w:sz w:val="32"/>
          <w:szCs w:val="32"/>
        </w:rPr>
        <w:t>预算法》、</w:t>
      </w:r>
      <w:r>
        <w:rPr>
          <w:rFonts w:ascii="华文仿宋" w:hAnsi="华文仿宋" w:eastAsia="华文仿宋" w:cs="Times New Roman"/>
          <w:sz w:val="32"/>
          <w:szCs w:val="32"/>
        </w:rPr>
        <w:t>《地方预决算公开操作规程》和《河北省省级预算公开办法》</w:t>
      </w:r>
      <w:r>
        <w:rPr>
          <w:rFonts w:hint="eastAsia" w:ascii="华文仿宋" w:hAnsi="华文仿宋" w:eastAsia="华文仿宋" w:cs="Times New Roman"/>
          <w:sz w:val="32"/>
          <w:szCs w:val="32"/>
        </w:rPr>
        <w:t>规定</w:t>
      </w:r>
      <w:r>
        <w:rPr>
          <w:rFonts w:ascii="华文仿宋" w:hAnsi="华文仿宋" w:eastAsia="华文仿宋" w:cs="Times New Roman"/>
          <w:sz w:val="32"/>
          <w:szCs w:val="32"/>
        </w:rPr>
        <w:t>，现将河北</w:t>
      </w:r>
      <w:r>
        <w:rPr>
          <w:rFonts w:hint="eastAsia" w:ascii="华文仿宋" w:hAnsi="华文仿宋" w:eastAsia="华文仿宋" w:cs="Times New Roman"/>
          <w:sz w:val="32"/>
          <w:szCs w:val="32"/>
        </w:rPr>
        <w:t>女子职业技术学院</w:t>
      </w:r>
      <w:r>
        <w:rPr>
          <w:rFonts w:ascii="华文仿宋" w:hAnsi="华文仿宋" w:eastAsia="华文仿宋" w:cs="Times New Roman"/>
          <w:sz w:val="32"/>
          <w:szCs w:val="32"/>
        </w:rPr>
        <w:t>201</w:t>
      </w:r>
      <w:r>
        <w:rPr>
          <w:rFonts w:hint="eastAsia" w:ascii="华文仿宋" w:hAnsi="华文仿宋" w:eastAsia="华文仿宋" w:cs="Times New Roman"/>
          <w:sz w:val="32"/>
          <w:szCs w:val="32"/>
        </w:rPr>
        <w:t>8</w:t>
      </w:r>
      <w:r>
        <w:rPr>
          <w:rFonts w:ascii="华文仿宋" w:hAnsi="华文仿宋" w:eastAsia="华文仿宋" w:cs="Times New Roman"/>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640" w:firstLineChars="200"/>
        <w:rPr>
          <w:rFonts w:ascii="华文仿宋" w:hAnsi="华文仿宋" w:eastAsia="华文仿宋" w:cs="Times New Roman"/>
          <w:sz w:val="32"/>
          <w:szCs w:val="32"/>
        </w:rPr>
      </w:pPr>
      <w:r>
        <w:rPr>
          <w:rFonts w:hint="eastAsia" w:ascii="Times New Roman" w:hAnsi="Times New Roman" w:eastAsia="方正仿宋_GBK" w:cs="Times New Roman"/>
          <w:b/>
          <w:sz w:val="32"/>
          <w:szCs w:val="32"/>
        </w:rPr>
        <w:t>部门</w:t>
      </w:r>
      <w:r>
        <w:rPr>
          <w:rFonts w:ascii="Times New Roman" w:hAnsi="Times New Roman" w:eastAsia="方正仿宋_GBK" w:cs="Times New Roman"/>
          <w:b/>
          <w:sz w:val="32"/>
          <w:szCs w:val="32"/>
        </w:rPr>
        <w:t>职责：</w:t>
      </w:r>
      <w:r>
        <w:rPr>
          <w:rFonts w:hint="eastAsia" w:ascii="华文仿宋" w:hAnsi="华文仿宋" w:eastAsia="华文仿宋" w:cs="Times New Roman"/>
          <w:sz w:val="32"/>
          <w:szCs w:val="32"/>
        </w:rPr>
        <w:t>根据《河北女子职业技术学院职能配置、内设机构和人员编制方案》规定，我院主要职责是学历教育、妇联干部培训及成人教育。</w:t>
      </w:r>
    </w:p>
    <w:p>
      <w:pPr>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学历教育：主要是培养适应生产、建设、管理、服务第一线需要的、具有良好职业道德的女性技术技能型人才，依托内涵建设，打造校园优美、管理规范、质量优良、充满活力的全国知名女子高等学府。</w:t>
      </w:r>
    </w:p>
    <w:p>
      <w:pPr>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妇联干部培训：举办以各级妇女干部为主的短期岗位培训，按照实际需要制定培训计划，满足各级妇女干部理论、实践和管理能力的提升。</w:t>
      </w:r>
    </w:p>
    <w:p>
      <w:pPr>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成人教育：根据学院各专业教学计划，组织教师按教学计划进行教学工作，开展学生资格证考试工作及实践实训课程工作；开展成人学历教育及非学历教育。</w:t>
      </w:r>
    </w:p>
    <w:p>
      <w:pPr>
        <w:autoSpaceDE w:val="0"/>
        <w:autoSpaceDN w:val="0"/>
        <w:adjustRightInd w:val="0"/>
        <w:ind w:left="198" w:firstLine="641" w:firstLineChars="200"/>
        <w:jc w:val="left"/>
        <w:rPr>
          <w:rFonts w:ascii="华文仿宋" w:hAnsi="华文仿宋" w:eastAsia="华文仿宋" w:cs="Times New Roman"/>
          <w:sz w:val="32"/>
          <w:szCs w:val="32"/>
        </w:rPr>
      </w:pPr>
      <w:r>
        <w:rPr>
          <w:rFonts w:hint="eastAsia" w:ascii="华文仿宋" w:hAnsi="华文仿宋" w:eastAsia="华文仿宋" w:cs="Times New Roman"/>
          <w:b/>
          <w:sz w:val="32"/>
          <w:szCs w:val="32"/>
        </w:rPr>
        <w:t>机构设置：</w:t>
      </w:r>
      <w:r>
        <w:rPr>
          <w:rFonts w:hint="eastAsia" w:ascii="华文仿宋" w:hAnsi="华文仿宋" w:eastAsia="华文仿宋" w:cs="Times New Roman"/>
          <w:sz w:val="32"/>
          <w:szCs w:val="32"/>
        </w:rPr>
        <w:t>我院为省一级预算单位，定额定项补助事业单位，没有下属部门，目前学院机构设置为：</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1、党政群管理机构：</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学院办公室、组织人事部、纪检监察处、教务处、学生处、后勤管理处、财务处。</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2、教学机构：</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基础教学部、继续教育部、学前教育系、应用技术系、艺术设计系、经济管理系、护理系。</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3、教辅机构：</w:t>
      </w:r>
    </w:p>
    <w:p>
      <w:pPr>
        <w:autoSpaceDE w:val="0"/>
        <w:autoSpaceDN w:val="0"/>
        <w:adjustRightInd w:val="0"/>
        <w:ind w:left="198"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女性教育研究所、图书馆、创新创业学院。</w:t>
      </w:r>
    </w:p>
    <w:p>
      <w:pPr>
        <w:jc w:val="center"/>
        <w:outlineLvl w:val="0"/>
        <w:rPr>
          <w:rFonts w:ascii="华文仿宋" w:hAnsi="华文仿宋" w:eastAsia="华文仿宋" w:cs="Times New Roman"/>
          <w:sz w:val="32"/>
          <w:szCs w:val="24"/>
        </w:rPr>
      </w:pPr>
      <w:r>
        <w:rPr>
          <w:rFonts w:ascii="华文仿宋" w:hAnsi="华文仿宋" w:eastAsia="华文仿宋" w:cs="Times New Roman"/>
          <w:sz w:val="32"/>
          <w:szCs w:val="24"/>
        </w:rPr>
        <w:t>部门</w:t>
      </w:r>
      <w:r>
        <w:rPr>
          <w:rFonts w:hint="eastAsia" w:ascii="华文仿宋" w:hAnsi="华文仿宋" w:eastAsia="华文仿宋" w:cs="Times New Roman"/>
          <w:sz w:val="32"/>
          <w:szCs w:val="24"/>
        </w:rPr>
        <w:t>机构设置情况</w:t>
      </w:r>
    </w:p>
    <w:tbl>
      <w:tblPr>
        <w:tblStyle w:val="6"/>
        <w:tblW w:w="81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1"/>
        <w:gridCol w:w="1134"/>
        <w:gridCol w:w="1276"/>
        <w:gridCol w:w="23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blHeader/>
          <w:jc w:val="center"/>
        </w:trPr>
        <w:tc>
          <w:tcPr>
            <w:tcW w:w="3401"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单位名称</w:t>
            </w:r>
          </w:p>
        </w:tc>
        <w:tc>
          <w:tcPr>
            <w:tcW w:w="1134"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单位性质</w:t>
            </w:r>
          </w:p>
        </w:tc>
        <w:tc>
          <w:tcPr>
            <w:tcW w:w="1276"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单位规格</w:t>
            </w:r>
          </w:p>
        </w:tc>
        <w:tc>
          <w:tcPr>
            <w:tcW w:w="2385"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401" w:type="dxa"/>
            <w:vMerge w:val="continue"/>
            <w:vAlign w:val="center"/>
          </w:tcPr>
          <w:p>
            <w:pPr>
              <w:spacing w:line="300" w:lineRule="exact"/>
              <w:jc w:val="left"/>
              <w:outlineLvl w:val="0"/>
              <w:rPr>
                <w:rFonts w:ascii="Times New Roman" w:hAnsi="Times New Roman" w:cs="Times New Roman"/>
                <w:szCs w:val="24"/>
              </w:rPr>
            </w:pPr>
          </w:p>
        </w:tc>
        <w:tc>
          <w:tcPr>
            <w:tcW w:w="1134" w:type="dxa"/>
            <w:vMerge w:val="continue"/>
            <w:vAlign w:val="center"/>
          </w:tcPr>
          <w:p>
            <w:pPr>
              <w:spacing w:line="300" w:lineRule="exact"/>
              <w:jc w:val="left"/>
              <w:outlineLvl w:val="0"/>
              <w:rPr>
                <w:rFonts w:ascii="Times New Roman" w:hAnsi="Times New Roman" w:cs="Times New Roman"/>
                <w:szCs w:val="24"/>
              </w:rPr>
            </w:pPr>
          </w:p>
        </w:tc>
        <w:tc>
          <w:tcPr>
            <w:tcW w:w="1276" w:type="dxa"/>
            <w:vMerge w:val="continue"/>
            <w:vAlign w:val="center"/>
          </w:tcPr>
          <w:p>
            <w:pPr>
              <w:spacing w:line="300" w:lineRule="exact"/>
              <w:jc w:val="left"/>
              <w:outlineLvl w:val="0"/>
              <w:rPr>
                <w:rFonts w:ascii="Times New Roman" w:hAnsi="Times New Roman" w:cs="Times New Roman"/>
                <w:szCs w:val="24"/>
              </w:rPr>
            </w:pPr>
          </w:p>
        </w:tc>
        <w:tc>
          <w:tcPr>
            <w:tcW w:w="2385" w:type="dxa"/>
            <w:vMerge w:val="continue"/>
            <w:vAlign w:val="center"/>
          </w:tcPr>
          <w:p>
            <w:pPr>
              <w:spacing w:line="300" w:lineRule="exact"/>
              <w:jc w:val="left"/>
              <w:outlineLvl w:val="0"/>
              <w:rPr>
                <w:rFonts w:ascii="Times New Roman" w:hAnsi="Times New Roman"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401" w:type="dxa"/>
            <w:vAlign w:val="center"/>
          </w:tcPr>
          <w:p>
            <w:pPr>
              <w:spacing w:line="300" w:lineRule="exact"/>
              <w:jc w:val="left"/>
              <w:rPr>
                <w:rFonts w:ascii="Times New Roman" w:hAnsi="Times New Roman" w:eastAsia="方正书宋_GBK" w:cs="Times New Roman"/>
                <w:szCs w:val="24"/>
              </w:rPr>
            </w:pPr>
            <w:r>
              <w:rPr>
                <w:rFonts w:hint="eastAsia" w:ascii="Times New Roman" w:hAnsi="Times New Roman" w:eastAsia="方正书宋_GBK" w:cs="Times New Roman"/>
                <w:szCs w:val="24"/>
              </w:rPr>
              <w:t>河北女子职业技术学院</w:t>
            </w:r>
          </w:p>
        </w:tc>
        <w:tc>
          <w:tcPr>
            <w:tcW w:w="1134" w:type="dxa"/>
            <w:vAlign w:val="center"/>
          </w:tcPr>
          <w:p>
            <w:pPr>
              <w:spacing w:line="300" w:lineRule="exact"/>
              <w:jc w:val="left"/>
              <w:rPr>
                <w:rFonts w:ascii="Times New Roman" w:hAnsi="Times New Roman" w:eastAsia="方正书宋_GBK" w:cs="Times New Roman"/>
                <w:szCs w:val="24"/>
              </w:rPr>
            </w:pPr>
            <w:r>
              <w:rPr>
                <w:rFonts w:hint="eastAsia" w:ascii="Times New Roman" w:hAnsi="Times New Roman" w:eastAsia="方正书宋_GBK" w:cs="Times New Roman"/>
                <w:szCs w:val="24"/>
              </w:rPr>
              <w:t>事业单位</w:t>
            </w:r>
          </w:p>
        </w:tc>
        <w:tc>
          <w:tcPr>
            <w:tcW w:w="1276" w:type="dxa"/>
            <w:vAlign w:val="center"/>
          </w:tcPr>
          <w:p>
            <w:pPr>
              <w:spacing w:line="300" w:lineRule="exact"/>
              <w:ind w:firstLine="105" w:firstLineChars="50"/>
              <w:jc w:val="left"/>
              <w:rPr>
                <w:rFonts w:ascii="Times New Roman" w:hAnsi="Times New Roman" w:eastAsia="方正书宋_GBK" w:cs="Times New Roman"/>
                <w:szCs w:val="24"/>
              </w:rPr>
            </w:pPr>
            <w:r>
              <w:rPr>
                <w:rFonts w:hint="eastAsia" w:ascii="Times New Roman" w:hAnsi="Times New Roman" w:eastAsia="方正书宋_GBK" w:cs="Times New Roman"/>
                <w:szCs w:val="24"/>
              </w:rPr>
              <w:t>副厅级</w:t>
            </w:r>
          </w:p>
        </w:tc>
        <w:tc>
          <w:tcPr>
            <w:tcW w:w="2385" w:type="dxa"/>
            <w:vAlign w:val="center"/>
          </w:tcPr>
          <w:p>
            <w:pPr>
              <w:spacing w:line="300" w:lineRule="exact"/>
              <w:ind w:firstLine="420" w:firstLineChars="200"/>
              <w:jc w:val="left"/>
              <w:rPr>
                <w:rFonts w:ascii="Times New Roman" w:hAnsi="Times New Roman" w:eastAsia="方正书宋_GBK" w:cs="Times New Roman"/>
                <w:szCs w:val="24"/>
              </w:rPr>
            </w:pPr>
            <w:r>
              <w:rPr>
                <w:rFonts w:hint="eastAsia" w:ascii="Times New Roman" w:hAnsi="Times New Roman" w:eastAsia="方正书宋_GBK" w:cs="Times New Roman"/>
                <w:szCs w:val="24"/>
              </w:rPr>
              <w:t>定额定项补助</w:t>
            </w:r>
          </w:p>
        </w:tc>
      </w:tr>
    </w:tbl>
    <w:p>
      <w:pPr>
        <w:autoSpaceDE w:val="0"/>
        <w:autoSpaceDN w:val="0"/>
        <w:adjustRightInd w:val="0"/>
        <w:ind w:left="198" w:firstLine="640" w:firstLineChars="200"/>
        <w:jc w:val="center"/>
        <w:rPr>
          <w:rFonts w:ascii="方正仿宋_GBK" w:hAnsi="Times New Roman" w:eastAsia="方正仿宋_GBK" w:cs="Times New Roman"/>
          <w:sz w:val="32"/>
          <w:szCs w:val="32"/>
        </w:rPr>
      </w:pPr>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ascii="华文仿宋" w:hAnsi="华文仿宋" w:eastAsia="华文仿宋" w:cs="Times New Roman"/>
          <w:sz w:val="32"/>
          <w:szCs w:val="32"/>
        </w:rPr>
      </w:pPr>
      <w:r>
        <w:rPr>
          <w:rFonts w:ascii="华文仿宋" w:hAnsi="华文仿宋" w:eastAsia="华文仿宋" w:cs="Times New Roman"/>
          <w:sz w:val="32"/>
          <w:szCs w:val="32"/>
        </w:rPr>
        <w:t>按照预算管理有关规定，目前我省部门预算的编制实行综合预算制度，即全部收入和支出都反映</w:t>
      </w:r>
      <w:r>
        <w:rPr>
          <w:rFonts w:hint="eastAsia" w:ascii="华文仿宋" w:hAnsi="华文仿宋" w:eastAsia="华文仿宋" w:cs="Times New Roman"/>
          <w:sz w:val="32"/>
          <w:szCs w:val="32"/>
        </w:rPr>
        <w:t>在</w:t>
      </w:r>
      <w:r>
        <w:rPr>
          <w:rFonts w:ascii="华文仿宋" w:hAnsi="华文仿宋" w:eastAsia="华文仿宋" w:cs="Times New Roman"/>
          <w:sz w:val="32"/>
          <w:szCs w:val="32"/>
        </w:rPr>
        <w:t>预算中。</w:t>
      </w:r>
      <w:r>
        <w:rPr>
          <w:rFonts w:hint="eastAsia" w:ascii="华文仿宋" w:hAnsi="华文仿宋" w:eastAsia="华文仿宋" w:cs="Times New Roman"/>
          <w:sz w:val="32"/>
          <w:szCs w:val="32"/>
        </w:rPr>
        <w:t>河北女子职业技术学院及</w:t>
      </w:r>
      <w:r>
        <w:rPr>
          <w:rFonts w:ascii="华文仿宋" w:hAnsi="华文仿宋" w:eastAsia="华文仿宋" w:cs="Times New Roman"/>
          <w:sz w:val="32"/>
          <w:szCs w:val="32"/>
        </w:rPr>
        <w:t>所属事业单位的收支包含在部门预算中。</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pPr>
        <w:spacing w:line="54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 xml:space="preserve">2018年，预算总收入8238.66万元。其中:一般公共财政预算收入5533.13万元，财政专户核拨（学宿费收入等）收入2665.53万元，其他来源收入40万元。 </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pPr>
        <w:spacing w:line="540" w:lineRule="exact"/>
        <w:ind w:firstLine="640" w:firstLineChars="200"/>
        <w:rPr>
          <w:rFonts w:ascii="Times New Roman" w:hAnsi="Times New Roman" w:eastAsia="方正仿宋_GBK" w:cs="Times New Roman"/>
          <w:sz w:val="32"/>
          <w:szCs w:val="32"/>
        </w:rPr>
      </w:pPr>
      <w:r>
        <w:rPr>
          <w:rFonts w:hint="eastAsia" w:ascii="华文仿宋" w:hAnsi="华文仿宋" w:eastAsia="华文仿宋" w:cs="Times New Roman"/>
          <w:sz w:val="32"/>
          <w:szCs w:val="32"/>
        </w:rPr>
        <w:t>2018年，预算支出为8238.66万元。其中：基本支出预算安排3374.5万元，包括人员经费2992.34万元、日常公用经费382.16万元。项目支出预算安排</w:t>
      </w:r>
      <w:r>
        <w:rPr>
          <w:rFonts w:ascii="华文仿宋" w:hAnsi="华文仿宋" w:eastAsia="华文仿宋" w:cs="Times New Roman"/>
          <w:sz w:val="32"/>
          <w:szCs w:val="32"/>
        </w:rPr>
        <w:t>4864.16</w:t>
      </w:r>
      <w:r>
        <w:rPr>
          <w:rFonts w:hint="eastAsia" w:ascii="华文仿宋" w:hAnsi="华文仿宋" w:eastAsia="华文仿宋" w:cs="Times New Roman"/>
          <w:sz w:val="32"/>
          <w:szCs w:val="32"/>
        </w:rPr>
        <w:t>万元，全部为一般公共预算拨款安排，主要是气模体育馆建设、高铁航空模拟舱购置、护理实训室采购等。</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pPr>
        <w:spacing w:line="540" w:lineRule="exact"/>
        <w:ind w:firstLine="640" w:firstLineChars="200"/>
        <w:rPr>
          <w:rFonts w:ascii="Times New Roman" w:hAnsi="Times New Roman" w:eastAsia="方正仿宋_GBK" w:cs="Times New Roman"/>
          <w:sz w:val="32"/>
          <w:szCs w:val="32"/>
        </w:rPr>
      </w:pPr>
      <w:r>
        <w:rPr>
          <w:rFonts w:hint="eastAsia" w:ascii="华文仿宋" w:hAnsi="华文仿宋" w:eastAsia="华文仿宋" w:cs="Times New Roman"/>
          <w:sz w:val="32"/>
          <w:szCs w:val="32"/>
        </w:rPr>
        <w:t>2018年部门预算收支安排8238.66万元，较2017年预算收支增加178.67万元，其中基本支出减少303.61万元，主要原因是学院加强日常公用开支的管理，节约了日常公用支出；项目支出增加482.28万元，主要原因是随着招生规模的扩大，按照教学管理的需要以及信息化的要求，增加了教学设备采购支出，增加了气模体育场的建设，增加了课程资源建设投入，增加了教师素质提升等项目，使项目支出相应增加。</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spacing w:line="540" w:lineRule="exact"/>
        <w:ind w:firstLine="640" w:firstLineChars="200"/>
        <w:rPr>
          <w:rFonts w:ascii="黑体" w:hAnsi="黑体" w:eastAsia="黑体" w:cs="Times New Roman"/>
          <w:b w:val="0"/>
          <w:bCs w:val="0"/>
          <w:sz w:val="32"/>
          <w:szCs w:val="32"/>
        </w:rPr>
      </w:pPr>
      <w:r>
        <w:rPr>
          <w:rFonts w:hint="eastAsia" w:ascii="华文仿宋" w:hAnsi="华文仿宋" w:eastAsia="华文仿宋" w:cs="Times New Roman"/>
          <w:sz w:val="32"/>
          <w:szCs w:val="32"/>
        </w:rPr>
        <w:t>2018年学院安排的正常公用经费为382.16万元，</w:t>
      </w:r>
      <w:r>
        <w:rPr>
          <w:rFonts w:ascii="Times New Roman" w:hAnsi="Times New Roman" w:eastAsia="方正仿宋_GBK" w:cs="Times New Roman"/>
          <w:b w:val="0"/>
          <w:bCs w:val="0"/>
          <w:sz w:val="32"/>
          <w:szCs w:val="32"/>
        </w:rPr>
        <w:t>主要用于</w:t>
      </w:r>
      <w:r>
        <w:rPr>
          <w:rFonts w:hint="eastAsia" w:ascii="Times New Roman" w:hAnsi="Times New Roman" w:eastAsia="方正仿宋_GBK" w:cs="Times New Roman"/>
          <w:b w:val="0"/>
          <w:bCs w:val="0"/>
          <w:sz w:val="32"/>
          <w:szCs w:val="32"/>
        </w:rPr>
        <w:t>以下各项</w:t>
      </w:r>
      <w:r>
        <w:rPr>
          <w:rFonts w:hint="eastAsia" w:ascii="Times New Roman" w:hAnsi="Times New Roman" w:eastAsia="方正仿宋_GBK"/>
          <w:b w:val="0"/>
          <w:bCs w:val="0"/>
          <w:sz w:val="32"/>
          <w:szCs w:val="32"/>
        </w:rPr>
        <w:t>：办公及印刷费、邮电费、差旅费、会议费、福利费、日常维修费、专用材料及一般设备购置费、办公用房水电费、办公用房取暖费</w:t>
      </w:r>
      <w:r>
        <w:rPr>
          <w:rFonts w:hint="eastAsia" w:ascii="Times New Roman" w:hAnsi="Times New Roman" w:eastAsia="方正仿宋_GBK" w:cs="Times New Roman"/>
          <w:b w:val="0"/>
          <w:bCs w:val="0"/>
          <w:sz w:val="32"/>
          <w:szCs w:val="32"/>
        </w:rPr>
        <w:t>等</w:t>
      </w:r>
      <w:r>
        <w:rPr>
          <w:rFonts w:ascii="Times New Roman" w:hAnsi="Times New Roman" w:eastAsia="方正仿宋_GBK" w:cs="Times New Roman"/>
          <w:b w:val="0"/>
          <w:bCs w:val="0"/>
          <w:sz w:val="32"/>
          <w:szCs w:val="32"/>
        </w:rPr>
        <w:t>日常运行支出</w:t>
      </w:r>
      <w:r>
        <w:rPr>
          <w:rFonts w:hint="eastAsia" w:ascii="华文仿宋" w:hAnsi="华文仿宋" w:eastAsia="华文仿宋" w:cs="Times New Roman"/>
          <w:b w:val="0"/>
          <w:bCs w:val="0"/>
          <w:sz w:val="32"/>
          <w:szCs w:val="32"/>
        </w:rPr>
        <w:t>。</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ind w:firstLine="640" w:firstLineChars="200"/>
        <w:rPr>
          <w:rFonts w:ascii="华文仿宋" w:hAnsi="华文仿宋" w:eastAsia="华文仿宋" w:cs="Times New Roman"/>
          <w:sz w:val="32"/>
          <w:szCs w:val="32"/>
        </w:rPr>
      </w:pPr>
      <w:r>
        <w:rPr>
          <w:rFonts w:hint="eastAsia" w:ascii="仿宋" w:hAnsi="仿宋" w:eastAsia="仿宋" w:cs="仿宋"/>
          <w:sz w:val="32"/>
          <w:szCs w:val="32"/>
        </w:rPr>
        <w:t>2018年，我学院财政拨款“三公”经费预算安排81.15万元，</w:t>
      </w:r>
      <w:r>
        <w:rPr>
          <w:rFonts w:hint="eastAsia" w:ascii="仿宋" w:hAnsi="仿宋" w:eastAsia="仿宋" w:cs="仿宋"/>
          <w:bCs/>
          <w:color w:val="000000"/>
          <w:sz w:val="32"/>
          <w:szCs w:val="32"/>
        </w:rPr>
        <w:t>全部由财政专户核拨资金安排</w:t>
      </w:r>
      <w:r>
        <w:rPr>
          <w:rFonts w:hint="eastAsia" w:ascii="仿宋" w:hAnsi="仿宋" w:eastAsia="仿宋" w:cs="仿宋"/>
          <w:sz w:val="32"/>
          <w:szCs w:val="32"/>
        </w:rPr>
        <w:t>，其中：因公出国（境）费33.65万元；公务接待费15万元</w:t>
      </w:r>
      <w:bookmarkStart w:id="0" w:name="OLE_LINK2"/>
      <w:bookmarkStart w:id="1" w:name="OLE_LINK3"/>
      <w:r>
        <w:rPr>
          <w:rFonts w:hint="eastAsia" w:ascii="仿宋" w:hAnsi="仿宋" w:eastAsia="仿宋" w:cs="仿宋"/>
          <w:sz w:val="32"/>
          <w:szCs w:val="32"/>
        </w:rPr>
        <w:t>；公务用车购置及运行维护费</w:t>
      </w:r>
      <w:bookmarkEnd w:id="0"/>
      <w:bookmarkEnd w:id="1"/>
      <w:r>
        <w:rPr>
          <w:rFonts w:hint="eastAsia" w:ascii="仿宋" w:hAnsi="仿宋" w:eastAsia="仿宋" w:cs="仿宋"/>
          <w:sz w:val="32"/>
          <w:szCs w:val="32"/>
        </w:rPr>
        <w:t>32.50万元（其中公务用车购置费0万元，公务用车运行维护费32.50万元）。</w:t>
      </w:r>
      <w:r>
        <w:rPr>
          <w:rFonts w:hint="eastAsia" w:ascii="仿宋" w:hAnsi="仿宋" w:eastAsia="仿宋" w:cs="仿宋"/>
          <w:color w:val="000000"/>
          <w:sz w:val="32"/>
          <w:szCs w:val="32"/>
        </w:rPr>
        <w:t>财政专户核拨资金安排的“三公”经费</w:t>
      </w:r>
      <w:r>
        <w:rPr>
          <w:rFonts w:hint="eastAsia" w:ascii="仿宋" w:hAnsi="仿宋" w:eastAsia="仿宋" w:cs="仿宋"/>
          <w:sz w:val="32"/>
          <w:szCs w:val="32"/>
        </w:rPr>
        <w:t>与2017年相比增加了14万元，主要原因是：根据学院发展需要，我院将2018年因公出国（境）费由18.65万元调增至33.65万元，以适应教育国际化趋势、推进教育合作和学术交流。同时公务用车购置及运行维护费由33.50万元调减至32.50万元，学院加强了公务用车的管理，压缩了开支。</w:t>
      </w:r>
    </w:p>
    <w:p>
      <w:pPr>
        <w:ind w:firstLine="640"/>
        <w:rPr>
          <w:rFonts w:ascii="黑体" w:hAnsi="黑体" w:eastAsia="黑体" w:cs="Times New Roman"/>
          <w:sz w:val="32"/>
          <w:szCs w:val="32"/>
        </w:rPr>
      </w:pPr>
      <w:r>
        <w:rPr>
          <w:rFonts w:hint="eastAsia" w:ascii="黑体" w:hAnsi="黑体" w:eastAsia="黑体" w:cs="Times New Roman"/>
          <w:sz w:val="32"/>
          <w:szCs w:val="32"/>
        </w:rPr>
        <w:t>五、绩效预算信息</w:t>
      </w:r>
    </w:p>
    <w:p>
      <w:pPr>
        <w:ind w:firstLine="640"/>
        <w:rPr>
          <w:rFonts w:ascii="黑体" w:hAnsi="黑体" w:eastAsia="黑体" w:cs="Times New Roman"/>
          <w:sz w:val="32"/>
          <w:szCs w:val="32"/>
        </w:rPr>
      </w:pPr>
      <w:r>
        <w:rPr>
          <w:rFonts w:hint="eastAsia" w:ascii="方正楷体_GBK" w:eastAsia="方正楷体_GBK"/>
          <w:b/>
          <w:sz w:val="28"/>
        </w:rPr>
        <w:t>职责分类绩效目标：</w:t>
      </w:r>
    </w:p>
    <w:p>
      <w:pPr>
        <w:ind w:firstLine="560"/>
        <w:rPr>
          <w:rFonts w:ascii="华文仿宋" w:hAnsi="华文仿宋" w:eastAsia="华文仿宋" w:cs="Times New Roman"/>
          <w:sz w:val="28"/>
        </w:rPr>
      </w:pPr>
      <w:bookmarkStart w:id="2" w:name="_Toc471398463"/>
      <w:r>
        <w:rPr>
          <w:rFonts w:hint="eastAsia" w:ascii="华文仿宋" w:hAnsi="华文仿宋" w:eastAsia="华文仿宋" w:cs="Times New Roman"/>
          <w:sz w:val="28"/>
        </w:rP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ind w:firstLine="560"/>
        <w:rPr>
          <w:rFonts w:ascii="华文仿宋" w:hAnsi="华文仿宋" w:eastAsia="华文仿宋" w:cs="Times New Roman"/>
          <w:sz w:val="28"/>
        </w:rPr>
      </w:pPr>
      <w:r>
        <w:rPr>
          <w:rFonts w:hint="eastAsia" w:ascii="华文仿宋" w:hAnsi="华文仿宋" w:eastAsia="华文仿宋" w:cs="Times New Roman"/>
          <w:sz w:val="28"/>
        </w:rPr>
        <w:t xml:space="preserve">（一）开办学历教育 </w:t>
      </w:r>
    </w:p>
    <w:p>
      <w:pPr>
        <w:ind w:firstLine="560"/>
        <w:rPr>
          <w:rFonts w:ascii="华文仿宋" w:hAnsi="华文仿宋" w:eastAsia="华文仿宋" w:cs="Times New Roman"/>
          <w:sz w:val="28"/>
        </w:rPr>
      </w:pPr>
      <w:r>
        <w:rPr>
          <w:rFonts w:hint="eastAsia" w:ascii="华文仿宋" w:hAnsi="华文仿宋" w:eastAsia="华文仿宋" w:cs="Times New Roman"/>
          <w:sz w:val="28"/>
        </w:rPr>
        <w:t>承办高等学历教育，培养适应生产、建设、管理、服务第一线需要的德、智、体、美等全面发展的高等技术应用型人才和管理人才。</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绩效目标及指标：企业对就业学生的满意程度；学生就业率；学生毕业率；学生职业证书取得率；学生满意度。</w:t>
      </w:r>
    </w:p>
    <w:p>
      <w:pPr>
        <w:ind w:firstLine="560"/>
        <w:rPr>
          <w:rFonts w:ascii="华文仿宋" w:hAnsi="华文仿宋" w:eastAsia="华文仿宋" w:cs="Times New Roman"/>
          <w:sz w:val="28"/>
        </w:rPr>
      </w:pPr>
      <w:r>
        <w:rPr>
          <w:rFonts w:hint="eastAsia" w:ascii="华文仿宋" w:hAnsi="华文仿宋" w:eastAsia="华文仿宋" w:cs="Times New Roman"/>
          <w:sz w:val="28"/>
        </w:rPr>
        <w:t>（二）师资和学科建设</w:t>
      </w:r>
    </w:p>
    <w:p>
      <w:pPr>
        <w:ind w:firstLine="560"/>
        <w:rPr>
          <w:rFonts w:ascii="华文仿宋" w:hAnsi="华文仿宋" w:eastAsia="华文仿宋" w:cs="Times New Roman"/>
          <w:sz w:val="28"/>
        </w:rPr>
      </w:pPr>
      <w:r>
        <w:rPr>
          <w:rFonts w:hint="eastAsia" w:ascii="华文仿宋" w:hAnsi="华文仿宋" w:eastAsia="华文仿宋" w:cs="Times New Roman"/>
          <w:sz w:val="28"/>
        </w:rPr>
        <w:t>制定专业及课程建设规划，不断优化专业结构，完善课程体系；探索校中企、企中校模式，推进校企深度合作；加强教师培训，以学术交流、国培项目、企业挂职锻炼等促进教师能力提升。</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绩效目标及指标：教师培训、学术交流计划完成率；教师获得省级以上称号的人数；专业建设完成率；教师培训进修比例；教师队伍高级职称比率。</w:t>
      </w:r>
    </w:p>
    <w:p>
      <w:pPr>
        <w:ind w:firstLine="560"/>
        <w:rPr>
          <w:rFonts w:ascii="华文仿宋" w:hAnsi="华文仿宋" w:eastAsia="华文仿宋" w:cs="Times New Roman"/>
          <w:sz w:val="28"/>
        </w:rPr>
      </w:pPr>
      <w:r>
        <w:rPr>
          <w:rFonts w:hint="eastAsia" w:ascii="华文仿宋" w:hAnsi="华文仿宋" w:eastAsia="华文仿宋" w:cs="Times New Roman"/>
          <w:sz w:val="28"/>
        </w:rPr>
        <w:t xml:space="preserve">（三）校企合作  </w:t>
      </w:r>
    </w:p>
    <w:p>
      <w:pPr>
        <w:ind w:firstLine="560"/>
        <w:rPr>
          <w:rFonts w:ascii="华文仿宋" w:hAnsi="华文仿宋" w:eastAsia="华文仿宋" w:cs="Times New Roman"/>
          <w:sz w:val="28"/>
        </w:rPr>
      </w:pPr>
      <w:r>
        <w:rPr>
          <w:rFonts w:hint="eastAsia" w:ascii="华文仿宋" w:hAnsi="华文仿宋" w:eastAsia="华文仿宋" w:cs="Times New Roman"/>
          <w:sz w:val="28"/>
        </w:rPr>
        <w:t>探索校中企、企中校模式，推进校企深度合作。</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绩效目标及指标：开展校中企融合模式项目数；创新创业项目及活动数；开展企中校融合模式项目数；参与企业实习的毕业生比率；实习生对企业的满意度；企业对实习生满意率。</w:t>
      </w:r>
    </w:p>
    <w:p>
      <w:pPr>
        <w:ind w:firstLine="560"/>
        <w:rPr>
          <w:rFonts w:ascii="华文仿宋" w:hAnsi="华文仿宋" w:eastAsia="华文仿宋" w:cs="Times New Roman"/>
          <w:sz w:val="28"/>
        </w:rPr>
      </w:pPr>
      <w:r>
        <w:rPr>
          <w:rFonts w:hint="eastAsia" w:ascii="华文仿宋" w:hAnsi="华文仿宋" w:eastAsia="华文仿宋" w:cs="Times New Roman"/>
          <w:sz w:val="28"/>
        </w:rPr>
        <w:t xml:space="preserve">（四）实训能力建设  </w:t>
      </w:r>
    </w:p>
    <w:p>
      <w:pPr>
        <w:ind w:firstLine="560"/>
        <w:rPr>
          <w:rFonts w:ascii="华文仿宋" w:hAnsi="华文仿宋" w:eastAsia="华文仿宋" w:cs="Times New Roman"/>
          <w:sz w:val="28"/>
        </w:rPr>
      </w:pPr>
      <w:r>
        <w:rPr>
          <w:rFonts w:hint="eastAsia" w:ascii="华文仿宋" w:hAnsi="华文仿宋" w:eastAsia="华文仿宋" w:cs="Times New Roman"/>
          <w:sz w:val="28"/>
        </w:rPr>
        <w:t>依托长线特色专业实训室建设，进一步完善配套措施及设备，提高学做结合、理实一体及岗位适应能力。</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绩效目标及指标：实训设施应用率；参加技能大赛学生占比数；省技能大赛获奖数；师生对实训室建设满意度。</w:t>
      </w:r>
    </w:p>
    <w:p>
      <w:pPr>
        <w:ind w:firstLine="560"/>
        <w:rPr>
          <w:rFonts w:ascii="华文仿宋" w:hAnsi="华文仿宋" w:eastAsia="华文仿宋" w:cs="Times New Roman"/>
          <w:sz w:val="28"/>
        </w:rPr>
      </w:pPr>
      <w:r>
        <w:rPr>
          <w:rFonts w:hint="eastAsia" w:ascii="华文仿宋" w:hAnsi="华文仿宋" w:eastAsia="华文仿宋" w:cs="Times New Roman"/>
          <w:sz w:val="28"/>
        </w:rPr>
        <w:t xml:space="preserve">（五）教学科研 </w:t>
      </w:r>
    </w:p>
    <w:p>
      <w:pPr>
        <w:ind w:firstLine="560"/>
        <w:rPr>
          <w:rFonts w:ascii="华文仿宋" w:hAnsi="华文仿宋" w:eastAsia="华文仿宋" w:cs="Times New Roman"/>
          <w:sz w:val="28"/>
        </w:rPr>
      </w:pPr>
      <w:r>
        <w:rPr>
          <w:rFonts w:hint="eastAsia" w:ascii="华文仿宋" w:hAnsi="华文仿宋" w:eastAsia="华文仿宋" w:cs="Times New Roman"/>
          <w:sz w:val="28"/>
        </w:rPr>
        <w:t>围绕高职教学现状开展调查研究和国内外学术交流，推进理论探索和实践创新。</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绩效目标及指标：省部级以上科研项目立项数量；科研课题完成率；教师在省级以上学术期刊发表论文、著作、教材数。</w:t>
      </w:r>
    </w:p>
    <w:p>
      <w:pPr>
        <w:ind w:firstLine="560"/>
        <w:rPr>
          <w:rFonts w:ascii="华文仿宋" w:hAnsi="华文仿宋" w:eastAsia="华文仿宋" w:cs="Times New Roman"/>
          <w:sz w:val="28"/>
        </w:rPr>
      </w:pPr>
      <w:r>
        <w:rPr>
          <w:rFonts w:hint="eastAsia" w:ascii="华文仿宋" w:hAnsi="华文仿宋" w:eastAsia="华文仿宋" w:cs="Times New Roman"/>
          <w:sz w:val="28"/>
        </w:rPr>
        <w:t xml:space="preserve">（六）教学事务管理 </w:t>
      </w:r>
    </w:p>
    <w:p>
      <w:pPr>
        <w:ind w:firstLine="560"/>
        <w:rPr>
          <w:rFonts w:ascii="华文仿宋" w:hAnsi="华文仿宋" w:eastAsia="华文仿宋" w:cs="Times New Roman"/>
          <w:sz w:val="28"/>
        </w:rPr>
      </w:pPr>
      <w:r>
        <w:rPr>
          <w:rFonts w:hint="eastAsia" w:ascii="华文仿宋" w:hAnsi="华文仿宋" w:eastAsia="华文仿宋" w:cs="Times New Roman"/>
          <w:sz w:val="28"/>
        </w:rPr>
        <w:t>根据社会发展需求，组织实施与教学活动和学员培训相关的综合管理和后勤保障事务。</w:t>
      </w:r>
    </w:p>
    <w:p>
      <w:pPr>
        <w:ind w:firstLine="560"/>
        <w:rPr>
          <w:rFonts w:ascii="华文仿宋" w:hAnsi="华文仿宋" w:eastAsia="华文仿宋" w:cs="Times New Roman"/>
          <w:sz w:val="28"/>
        </w:rPr>
      </w:pPr>
      <w:r>
        <w:rPr>
          <w:rFonts w:hint="eastAsia" w:ascii="华文仿宋" w:hAnsi="华文仿宋" w:eastAsia="华文仿宋" w:cs="Times New Roman"/>
          <w:sz w:val="28"/>
        </w:rPr>
        <w:t>绩效目标及指标：面向单独招生数；在校生人数；面向普通高中生招生数；师生满意度。</w:t>
      </w:r>
    </w:p>
    <w:p>
      <w:pPr>
        <w:ind w:firstLine="560"/>
        <w:rPr>
          <w:rFonts w:ascii="方正仿宋_GBK" w:eastAsia="方正仿宋_GBK" w:cs="Times New Roman"/>
          <w:sz w:val="28"/>
        </w:rPr>
      </w:pPr>
    </w:p>
    <w:p>
      <w:pPr>
        <w:jc w:val="left"/>
        <w:sectPr>
          <w:pgSz w:w="16839" w:h="11907" w:orient="landscape"/>
          <w:pgMar w:top="1134" w:right="1531" w:bottom="1134" w:left="1474" w:header="851" w:footer="992" w:gutter="0"/>
          <w:cols w:space="425" w:num="1"/>
          <w:docGrid w:type="lines" w:linePitch="312" w:charSpace="0"/>
        </w:sectPr>
      </w:pPr>
    </w:p>
    <w:p>
      <w:pPr>
        <w:jc w:val="center"/>
        <w:outlineLvl w:val="0"/>
        <w:rPr>
          <w:rFonts w:ascii="方正小标宋_GBK" w:eastAsia="方正小标宋_GBK" w:cs="Times New Roman"/>
          <w:sz w:val="32"/>
        </w:rPr>
      </w:pPr>
      <w:bookmarkStart w:id="3" w:name="_Toc502854290"/>
      <w:r>
        <w:rPr>
          <w:rFonts w:hint="eastAsia" w:ascii="方正小标宋_GBK" w:eastAsia="方正小标宋_GBK" w:cs="Times New Roman"/>
          <w:sz w:val="32"/>
        </w:rPr>
        <w:t>部门职责-工作活动绩效目标</w:t>
      </w:r>
      <w:bookmarkEnd w:id="3"/>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rPr>
            </w:pPr>
            <w:r>
              <w:rPr>
                <w:rFonts w:hint="eastAsia" w:ascii="方正小标宋_GBK" w:eastAsia="方正小标宋_GBK" w:cs="Times New Roman"/>
                <w:sz w:val="24"/>
              </w:rPr>
              <w:t>489河北女子职业技术学院</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rPr>
            </w:pPr>
            <w:r>
              <w:rPr>
                <w:rFonts w:hint="eastAsia" w:ascii="方正书宋_GBK"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职责活动</w:t>
            </w:r>
          </w:p>
        </w:tc>
        <w:tc>
          <w:tcPr>
            <w:tcW w:w="1276"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年度预算数</w:t>
            </w:r>
          </w:p>
        </w:tc>
        <w:tc>
          <w:tcPr>
            <w:tcW w:w="2976"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内容描述</w:t>
            </w:r>
          </w:p>
        </w:tc>
        <w:tc>
          <w:tcPr>
            <w:tcW w:w="2976"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绩效目标</w:t>
            </w:r>
          </w:p>
        </w:tc>
        <w:tc>
          <w:tcPr>
            <w:tcW w:w="1417"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绩效指标</w:t>
            </w:r>
          </w:p>
        </w:tc>
        <w:tc>
          <w:tcPr>
            <w:tcW w:w="2948" w:type="dxa"/>
            <w:gridSpan w:val="4"/>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rPr>
                <w:rFonts w:cs="Times New Roman"/>
              </w:rPr>
            </w:pPr>
          </w:p>
        </w:tc>
        <w:tc>
          <w:tcPr>
            <w:tcW w:w="1276" w:type="dxa"/>
            <w:vMerge w:val="continue"/>
            <w:vAlign w:val="center"/>
          </w:tcPr>
          <w:p>
            <w:pPr>
              <w:spacing w:line="300" w:lineRule="exact"/>
              <w:jc w:val="left"/>
              <w:outlineLvl w:val="0"/>
              <w:rPr>
                <w:rFonts w:cs="Times New Roman"/>
              </w:rPr>
            </w:pPr>
          </w:p>
        </w:tc>
        <w:tc>
          <w:tcPr>
            <w:tcW w:w="2976" w:type="dxa"/>
            <w:vMerge w:val="continue"/>
            <w:vAlign w:val="center"/>
          </w:tcPr>
          <w:p>
            <w:pPr>
              <w:spacing w:line="300" w:lineRule="exact"/>
              <w:jc w:val="left"/>
              <w:outlineLvl w:val="0"/>
              <w:rPr>
                <w:rFonts w:cs="Times New Roman"/>
              </w:rPr>
            </w:pPr>
          </w:p>
        </w:tc>
        <w:tc>
          <w:tcPr>
            <w:tcW w:w="2976" w:type="dxa"/>
            <w:vMerge w:val="continue"/>
            <w:vAlign w:val="center"/>
          </w:tcPr>
          <w:p>
            <w:pPr>
              <w:spacing w:line="300" w:lineRule="exact"/>
              <w:jc w:val="left"/>
              <w:outlineLvl w:val="0"/>
              <w:rPr>
                <w:rFonts w:cs="Times New Roman"/>
              </w:rPr>
            </w:pPr>
          </w:p>
        </w:tc>
        <w:tc>
          <w:tcPr>
            <w:tcW w:w="1417" w:type="dxa"/>
            <w:vMerge w:val="continue"/>
            <w:vAlign w:val="center"/>
          </w:tcPr>
          <w:p>
            <w:pPr>
              <w:spacing w:line="300" w:lineRule="exact"/>
              <w:jc w:val="left"/>
              <w:outlineLvl w:val="0"/>
              <w:rPr>
                <w:rFonts w:cs="Times New Roman"/>
              </w:rPr>
            </w:pPr>
          </w:p>
        </w:tc>
        <w:tc>
          <w:tcPr>
            <w:tcW w:w="737"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优</w:t>
            </w:r>
          </w:p>
        </w:tc>
        <w:tc>
          <w:tcPr>
            <w:tcW w:w="737"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良</w:t>
            </w:r>
          </w:p>
        </w:tc>
        <w:tc>
          <w:tcPr>
            <w:tcW w:w="737"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中</w:t>
            </w:r>
          </w:p>
        </w:tc>
        <w:tc>
          <w:tcPr>
            <w:tcW w:w="737"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学历教育</w:t>
            </w:r>
          </w:p>
        </w:tc>
        <w:tc>
          <w:tcPr>
            <w:tcW w:w="1276" w:type="dxa"/>
            <w:vAlign w:val="center"/>
          </w:tcPr>
          <w:p>
            <w:pPr>
              <w:spacing w:line="300" w:lineRule="exact"/>
              <w:jc w:val="left"/>
              <w:rPr>
                <w:rFonts w:ascii="方正书宋_GBK" w:eastAsia="方正书宋_GBK" w:cs="Times New Roman"/>
              </w:rPr>
            </w:pPr>
            <w:r>
              <w:rPr>
                <w:rFonts w:ascii="方正书宋_GBK" w:eastAsia="方正书宋_GBK" w:cs="Times New Roman"/>
              </w:rPr>
              <w:t>4863.26</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培养适应生产、建设、管理、服务第一线需要的、具有良好职业道德的女性技术技能型人才，依托内涵建设，打造校园优美、管理规范、质量优良、充满活力的全国知名女子高等学府。</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建立适合区域经济社会发展新形势的专业结构、彰显特色的课程体系、富有活力的教师队伍体系、指导性强的科研转化体系</w:t>
            </w:r>
          </w:p>
        </w:tc>
        <w:tc>
          <w:tcPr>
            <w:tcW w:w="1417" w:type="dxa"/>
            <w:vAlign w:val="center"/>
          </w:tcPr>
          <w:p>
            <w:pPr>
              <w:spacing w:line="300" w:lineRule="exact"/>
              <w:jc w:val="left"/>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开办学历教育</w:t>
            </w:r>
          </w:p>
        </w:tc>
        <w:tc>
          <w:tcPr>
            <w:tcW w:w="1276" w:type="dxa"/>
            <w:vMerge w:val="restart"/>
            <w:vAlign w:val="center"/>
          </w:tcPr>
          <w:p>
            <w:pPr>
              <w:spacing w:line="300" w:lineRule="exact"/>
              <w:jc w:val="left"/>
              <w:rPr>
                <w:rFonts w:ascii="方正书宋_GBK" w:eastAsia="方正书宋_GBK" w:cs="Times New Roman"/>
              </w:rPr>
            </w:pPr>
            <w:r>
              <w:rPr>
                <w:rFonts w:ascii="方正书宋_GBK" w:eastAsia="方正书宋_GBK" w:cs="Times New Roman"/>
              </w:rPr>
              <w:t>2297.76</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承办高等学历教育，培养适应生产、建设、管理、服务第一线需要的德、智、体、美等全面发展的高等技术应用型人才和管理人才。</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做好学生管理工作，高质量完成教学任务。</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学生满意度</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学生就业率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学生毕业率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学生职业证书取得率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≥20%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师资和学科建设</w:t>
            </w:r>
          </w:p>
        </w:tc>
        <w:tc>
          <w:tcPr>
            <w:tcW w:w="1276" w:type="dxa"/>
            <w:vMerge w:val="restart"/>
            <w:vAlign w:val="center"/>
          </w:tcPr>
          <w:p>
            <w:pPr>
              <w:spacing w:line="300" w:lineRule="exact"/>
              <w:jc w:val="left"/>
              <w:rPr>
                <w:rFonts w:ascii="方正书宋_GBK" w:eastAsia="方正书宋_GBK" w:cs="Times New Roman"/>
              </w:rPr>
            </w:pPr>
            <w:r>
              <w:rPr>
                <w:rFonts w:ascii="方正书宋_GBK" w:eastAsia="方正书宋_GBK" w:cs="Times New Roman"/>
              </w:rPr>
              <w:t>98.05</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制定专业及课程建设规划，不断优化专业结构，完善课程体系；探索校中厂、厂中校模式，推进校企深度合作；加强教师培训，以学术交流、国培项目、企业挂职锻炼等促进教师能力提升。</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提高教师队伍素质。优化专业结构，完善课程体系。</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教师培训、学术交流计划完成率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教师培训进修比例</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≥30%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≥20%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专业建设完成率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教师队伍高级职称比率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≥17%</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≥16.5%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≥16%</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校企合作</w:t>
            </w:r>
          </w:p>
        </w:tc>
        <w:tc>
          <w:tcPr>
            <w:tcW w:w="1276" w:type="dxa"/>
            <w:vMerge w:val="restart"/>
            <w:vAlign w:val="center"/>
          </w:tcPr>
          <w:p>
            <w:pPr>
              <w:spacing w:line="300" w:lineRule="exact"/>
              <w:jc w:val="left"/>
              <w:rPr>
                <w:rFonts w:ascii="方正书宋_GBK" w:eastAsia="方正书宋_GBK" w:cs="Times New Roman"/>
              </w:rPr>
            </w:pP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探索校中企、企中校模式，推进校企深度合作。</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探索“校-企”融合模式，提升学生岗位关键能力及创新创业能力。</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开展企中校融合模式项目数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≥3</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2</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1</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创新创业项目及活动数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≥3</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2</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1</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开展校中企融合模式项目数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≥3</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2</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1</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参与应参加企业实习的毕业生比率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实习生对企业的满意度</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企业对实习生满意率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实训能力建设</w:t>
            </w:r>
          </w:p>
        </w:tc>
        <w:tc>
          <w:tcPr>
            <w:tcW w:w="1276" w:type="dxa"/>
            <w:vMerge w:val="restart"/>
            <w:vAlign w:val="center"/>
          </w:tcPr>
          <w:p>
            <w:pPr>
              <w:spacing w:line="300" w:lineRule="exact"/>
              <w:jc w:val="left"/>
              <w:rPr>
                <w:rFonts w:ascii="方正书宋_GBK" w:eastAsia="方正书宋_GBK" w:cs="Times New Roman"/>
              </w:rPr>
            </w:pPr>
            <w:r>
              <w:rPr>
                <w:rFonts w:ascii="方正书宋_GBK" w:eastAsia="方正书宋_GBK" w:cs="Times New Roman"/>
              </w:rPr>
              <w:t>1080.45</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依托长线特色专业实训室建设，进一步完善配套措施及设备，提高学做结合、理实一体及岗位适应能力。</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根据区域经济社会发展及专业需要充实、改善和更新实训条件。</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参加技能大赛学生占比数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≥0.65%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≥0.6%</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≥0.55%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省技能大赛获奖数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≥3</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2</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1</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实训设施应用率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师生对实训室建设满意度</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≥75%</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教育科研</w:t>
            </w:r>
          </w:p>
        </w:tc>
        <w:tc>
          <w:tcPr>
            <w:tcW w:w="1276" w:type="dxa"/>
            <w:vMerge w:val="restart"/>
            <w:vAlign w:val="center"/>
          </w:tcPr>
          <w:p>
            <w:pPr>
              <w:spacing w:line="300" w:lineRule="exact"/>
              <w:jc w:val="left"/>
              <w:rPr>
                <w:rFonts w:ascii="方正书宋_GBK" w:eastAsia="方正书宋_GBK" w:cs="Times New Roman"/>
              </w:rPr>
            </w:pPr>
            <w:r>
              <w:rPr>
                <w:rFonts w:ascii="方正书宋_GBK" w:eastAsia="方正书宋_GBK" w:cs="Times New Roman"/>
              </w:rPr>
              <w:t>83.00</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围绕高职教育现状开展调查研究和国内外学术交流，推进理论探索和实践创新。</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提升科研能力，服务我省女性教育及高职教育发展。</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发表论文、著作、教材数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≥18</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≥14</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科研课题完成率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厅级以上科研项目立项数量</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≥4</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rPr>
            </w:pPr>
            <w:r>
              <w:rPr>
                <w:rFonts w:hint="eastAsia" w:ascii="方正书宋_GBK" w:eastAsia="方正书宋_GBK" w:cs="Times New Roman"/>
                <w:b/>
              </w:rPr>
              <w:t>　　教学事务管理</w:t>
            </w:r>
          </w:p>
        </w:tc>
        <w:tc>
          <w:tcPr>
            <w:tcW w:w="1276" w:type="dxa"/>
            <w:vMerge w:val="restart"/>
            <w:vAlign w:val="center"/>
          </w:tcPr>
          <w:p>
            <w:pPr>
              <w:spacing w:line="300" w:lineRule="exact"/>
              <w:jc w:val="left"/>
              <w:rPr>
                <w:rFonts w:ascii="方正书宋_GBK" w:eastAsia="方正书宋_GBK" w:cs="Times New Roman"/>
              </w:rPr>
            </w:pPr>
            <w:r>
              <w:rPr>
                <w:rFonts w:ascii="方正书宋_GBK" w:eastAsia="方正书宋_GBK" w:cs="Times New Roman"/>
              </w:rPr>
              <w:t>1304.00</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根据社会发展需求，组织实施与教学活动和学员培训相关的综合管理和后勤保障事务。</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Times New Roman"/>
              </w:rPr>
              <w:t>提高学院教学管理、培训能力和保障水平。</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师生满意度</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≥85%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面向普通高中生招生数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≥400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≥200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≥100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面向单独招生数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≥700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≥600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Times New Roman"/>
              </w:rPr>
              <w:t>≥500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Times New Roman"/>
              </w:rPr>
              <w:t>&lt;500</w:t>
            </w:r>
            <w:bookmarkEnd w:id="2"/>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autoSpaceDE w:val="0"/>
        <w:autoSpaceDN w:val="0"/>
        <w:adjustRightInd w:val="0"/>
        <w:ind w:left="200"/>
        <w:jc w:val="left"/>
        <w:rPr>
          <w:rFonts w:ascii="宋体" w:cs="宋体"/>
          <w:kern w:val="0"/>
          <w:sz w:val="18"/>
          <w:szCs w:val="18"/>
          <w:lang w:val="zh-CN"/>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outlineLvl w:val="0"/>
        <w:rPr>
          <w:rFonts w:ascii="华文仿宋" w:hAnsi="华文仿宋" w:eastAsia="华文仿宋" w:cs="Times New Roman"/>
          <w:sz w:val="32"/>
          <w:szCs w:val="24"/>
        </w:rPr>
      </w:pPr>
      <w:bookmarkStart w:id="4" w:name="_Toc471398468"/>
      <w:r>
        <w:rPr>
          <w:rFonts w:hint="eastAsia" w:ascii="方正小标宋_GBK" w:hAnsi="Times New Roman" w:eastAsia="方正小标宋_GBK" w:cs="Times New Roman"/>
          <w:sz w:val="32"/>
          <w:szCs w:val="24"/>
        </w:rPr>
        <w:t xml:space="preserve"> </w:t>
      </w:r>
      <w:r>
        <w:rPr>
          <w:rFonts w:ascii="Times New Roman" w:hAnsi="Times New Roman" w:eastAsia="方正仿宋_GBK" w:cs="Times New Roman"/>
          <w:sz w:val="32"/>
          <w:szCs w:val="24"/>
        </w:rPr>
        <w:t xml:space="preserve">   </w:t>
      </w:r>
      <w:r>
        <w:rPr>
          <w:rFonts w:ascii="华文仿宋" w:hAnsi="华文仿宋" w:eastAsia="华文仿宋" w:cs="Times New Roman"/>
          <w:sz w:val="32"/>
          <w:szCs w:val="24"/>
        </w:rPr>
        <w:t>201</w:t>
      </w:r>
      <w:r>
        <w:rPr>
          <w:rFonts w:hint="eastAsia" w:ascii="华文仿宋" w:hAnsi="华文仿宋" w:eastAsia="华文仿宋" w:cs="Times New Roman"/>
          <w:sz w:val="32"/>
          <w:szCs w:val="24"/>
        </w:rPr>
        <w:t>8</w:t>
      </w:r>
      <w:r>
        <w:rPr>
          <w:rFonts w:ascii="华文仿宋" w:hAnsi="华文仿宋" w:eastAsia="华文仿宋" w:cs="Times New Roman"/>
          <w:sz w:val="32"/>
          <w:szCs w:val="24"/>
        </w:rPr>
        <w:t>年，</w:t>
      </w:r>
      <w:r>
        <w:rPr>
          <w:rFonts w:hint="eastAsia" w:ascii="华文仿宋" w:hAnsi="华文仿宋" w:eastAsia="华文仿宋" w:cs="Times New Roman"/>
          <w:sz w:val="32"/>
          <w:szCs w:val="24"/>
        </w:rPr>
        <w:t>我学院</w:t>
      </w:r>
      <w:r>
        <w:rPr>
          <w:rFonts w:ascii="华文仿宋" w:hAnsi="华文仿宋" w:eastAsia="华文仿宋" w:cs="Times New Roman"/>
          <w:sz w:val="32"/>
          <w:szCs w:val="24"/>
        </w:rPr>
        <w:t>安排政府采购预算</w:t>
      </w:r>
      <w:r>
        <w:rPr>
          <w:rFonts w:hint="eastAsia" w:ascii="华文仿宋" w:hAnsi="华文仿宋" w:eastAsia="华文仿宋" w:cs="Times New Roman"/>
          <w:sz w:val="32"/>
          <w:szCs w:val="24"/>
        </w:rPr>
        <w:t>2417.45</w:t>
      </w:r>
      <w:r>
        <w:rPr>
          <w:rFonts w:ascii="华文仿宋" w:hAnsi="华文仿宋" w:eastAsia="华文仿宋" w:cs="Times New Roman"/>
          <w:sz w:val="32"/>
          <w:szCs w:val="24"/>
        </w:rPr>
        <w:t>万元。具体内容见下表。</w:t>
      </w:r>
    </w:p>
    <w:p>
      <w:pPr>
        <w:jc w:val="center"/>
        <w:outlineLvl w:val="0"/>
        <w:rPr>
          <w:rFonts w:ascii="方正小标宋_GBK" w:eastAsia="方正小标宋_GBK" w:cs="Times New Roman"/>
          <w:sz w:val="32"/>
        </w:rPr>
      </w:pPr>
      <w:bookmarkStart w:id="5" w:name="_Toc502854296"/>
      <w:r>
        <w:rPr>
          <w:rFonts w:hint="eastAsia" w:ascii="方正小标宋_GBK" w:eastAsia="方正小标宋_GBK" w:cs="Times New Roman"/>
          <w:sz w:val="32"/>
        </w:rPr>
        <w:t>部门政府采购预算</w:t>
      </w:r>
      <w:bookmarkEnd w:id="5"/>
    </w:p>
    <w:tbl>
      <w:tblPr>
        <w:tblStyle w:val="6"/>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rPr>
            </w:pPr>
            <w:r>
              <w:rPr>
                <w:rFonts w:hint="eastAsia" w:ascii="方正小标宋_GBK" w:eastAsia="方正小标宋_GBK" w:cs="Times New Roman"/>
                <w:sz w:val="24"/>
              </w:rPr>
              <w:t>489河北女子职业技术学院</w:t>
            </w:r>
          </w:p>
        </w:tc>
        <w:tc>
          <w:tcPr>
            <w:tcW w:w="6693"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rPr>
            </w:pPr>
            <w:r>
              <w:rPr>
                <w:rFonts w:hint="eastAsia" w:ascii="方正书宋_GBK"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31" w:type="dxa"/>
            <w:gridSpan w:val="2"/>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政府采购项目来源</w:t>
            </w:r>
          </w:p>
        </w:tc>
        <w:tc>
          <w:tcPr>
            <w:tcW w:w="965"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采购物品名称</w:t>
            </w:r>
          </w:p>
        </w:tc>
        <w:tc>
          <w:tcPr>
            <w:tcW w:w="1054"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政府采购目录序号</w:t>
            </w:r>
          </w:p>
        </w:tc>
        <w:tc>
          <w:tcPr>
            <w:tcW w:w="964"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数量  单位</w:t>
            </w:r>
          </w:p>
        </w:tc>
        <w:tc>
          <w:tcPr>
            <w:tcW w:w="964"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数量</w:t>
            </w:r>
          </w:p>
        </w:tc>
        <w:tc>
          <w:tcPr>
            <w:tcW w:w="986"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单价</w:t>
            </w:r>
          </w:p>
        </w:tc>
        <w:tc>
          <w:tcPr>
            <w:tcW w:w="6693" w:type="dxa"/>
            <w:gridSpan w:val="7"/>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项目名称</w:t>
            </w:r>
          </w:p>
        </w:tc>
        <w:tc>
          <w:tcPr>
            <w:tcW w:w="1162"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预算资金</w:t>
            </w:r>
          </w:p>
        </w:tc>
        <w:tc>
          <w:tcPr>
            <w:tcW w:w="965" w:type="dxa"/>
            <w:vMerge w:val="continue"/>
            <w:vAlign w:val="center"/>
          </w:tcPr>
          <w:p>
            <w:pPr>
              <w:spacing w:line="300" w:lineRule="exact"/>
              <w:jc w:val="left"/>
              <w:outlineLvl w:val="0"/>
              <w:rPr>
                <w:rFonts w:cs="Times New Roman"/>
              </w:rPr>
            </w:pPr>
          </w:p>
        </w:tc>
        <w:tc>
          <w:tcPr>
            <w:tcW w:w="1054" w:type="dxa"/>
            <w:vMerge w:val="continue"/>
            <w:vAlign w:val="center"/>
          </w:tcPr>
          <w:p>
            <w:pPr>
              <w:spacing w:line="300" w:lineRule="exact"/>
              <w:jc w:val="left"/>
              <w:outlineLvl w:val="0"/>
              <w:rPr>
                <w:rFonts w:cs="Times New Roman"/>
              </w:rPr>
            </w:pPr>
          </w:p>
        </w:tc>
        <w:tc>
          <w:tcPr>
            <w:tcW w:w="964" w:type="dxa"/>
            <w:vMerge w:val="continue"/>
            <w:vAlign w:val="center"/>
          </w:tcPr>
          <w:p>
            <w:pPr>
              <w:spacing w:line="300" w:lineRule="exact"/>
              <w:jc w:val="left"/>
              <w:outlineLvl w:val="0"/>
              <w:rPr>
                <w:rFonts w:cs="Times New Roman"/>
              </w:rPr>
            </w:pPr>
          </w:p>
        </w:tc>
        <w:tc>
          <w:tcPr>
            <w:tcW w:w="964" w:type="dxa"/>
            <w:vMerge w:val="continue"/>
            <w:vAlign w:val="center"/>
          </w:tcPr>
          <w:p>
            <w:pPr>
              <w:spacing w:line="300" w:lineRule="exact"/>
              <w:jc w:val="left"/>
              <w:outlineLvl w:val="0"/>
              <w:rPr>
                <w:rFonts w:cs="Times New Roman"/>
              </w:rPr>
            </w:pPr>
          </w:p>
        </w:tc>
        <w:tc>
          <w:tcPr>
            <w:tcW w:w="986" w:type="dxa"/>
            <w:vMerge w:val="continue"/>
            <w:vAlign w:val="center"/>
          </w:tcPr>
          <w:p>
            <w:pPr>
              <w:spacing w:line="300" w:lineRule="exact"/>
              <w:jc w:val="left"/>
              <w:outlineLvl w:val="0"/>
              <w:rPr>
                <w:rFonts w:cs="Times New Roman"/>
              </w:rPr>
            </w:pPr>
          </w:p>
        </w:tc>
        <w:tc>
          <w:tcPr>
            <w:tcW w:w="964"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总计</w:t>
            </w:r>
          </w:p>
        </w:tc>
        <w:tc>
          <w:tcPr>
            <w:tcW w:w="4820" w:type="dxa"/>
            <w:gridSpan w:val="5"/>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当年部门预算安排资金</w:t>
            </w:r>
          </w:p>
        </w:tc>
        <w:tc>
          <w:tcPr>
            <w:tcW w:w="909" w:type="dxa"/>
            <w:vMerge w:val="restart"/>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569" w:type="dxa"/>
            <w:vMerge w:val="continue"/>
            <w:vAlign w:val="center"/>
          </w:tcPr>
          <w:p>
            <w:pPr>
              <w:spacing w:line="300" w:lineRule="exact"/>
              <w:jc w:val="left"/>
              <w:outlineLvl w:val="0"/>
              <w:rPr>
                <w:rFonts w:cs="Times New Roman"/>
              </w:rPr>
            </w:pPr>
          </w:p>
        </w:tc>
        <w:tc>
          <w:tcPr>
            <w:tcW w:w="1162" w:type="dxa"/>
            <w:vMerge w:val="continue"/>
            <w:vAlign w:val="center"/>
          </w:tcPr>
          <w:p>
            <w:pPr>
              <w:spacing w:line="300" w:lineRule="exact"/>
              <w:jc w:val="left"/>
              <w:outlineLvl w:val="0"/>
              <w:rPr>
                <w:rFonts w:cs="Times New Roman"/>
              </w:rPr>
            </w:pPr>
          </w:p>
        </w:tc>
        <w:tc>
          <w:tcPr>
            <w:tcW w:w="965" w:type="dxa"/>
            <w:vMerge w:val="continue"/>
            <w:vAlign w:val="center"/>
          </w:tcPr>
          <w:p>
            <w:pPr>
              <w:spacing w:line="300" w:lineRule="exact"/>
              <w:jc w:val="left"/>
              <w:outlineLvl w:val="0"/>
              <w:rPr>
                <w:rFonts w:cs="Times New Roman"/>
              </w:rPr>
            </w:pPr>
          </w:p>
        </w:tc>
        <w:tc>
          <w:tcPr>
            <w:tcW w:w="1054" w:type="dxa"/>
            <w:vMerge w:val="continue"/>
            <w:vAlign w:val="center"/>
          </w:tcPr>
          <w:p>
            <w:pPr>
              <w:spacing w:line="300" w:lineRule="exact"/>
              <w:jc w:val="left"/>
              <w:outlineLvl w:val="0"/>
              <w:rPr>
                <w:rFonts w:cs="Times New Roman"/>
              </w:rPr>
            </w:pPr>
          </w:p>
        </w:tc>
        <w:tc>
          <w:tcPr>
            <w:tcW w:w="964" w:type="dxa"/>
            <w:vMerge w:val="continue"/>
            <w:vAlign w:val="center"/>
          </w:tcPr>
          <w:p>
            <w:pPr>
              <w:spacing w:line="300" w:lineRule="exact"/>
              <w:jc w:val="left"/>
              <w:outlineLvl w:val="0"/>
              <w:rPr>
                <w:rFonts w:cs="Times New Roman"/>
              </w:rPr>
            </w:pPr>
          </w:p>
        </w:tc>
        <w:tc>
          <w:tcPr>
            <w:tcW w:w="964" w:type="dxa"/>
            <w:vMerge w:val="continue"/>
            <w:vAlign w:val="center"/>
          </w:tcPr>
          <w:p>
            <w:pPr>
              <w:spacing w:line="300" w:lineRule="exact"/>
              <w:jc w:val="left"/>
              <w:outlineLvl w:val="0"/>
              <w:rPr>
                <w:rFonts w:cs="Times New Roman"/>
              </w:rPr>
            </w:pPr>
          </w:p>
        </w:tc>
        <w:tc>
          <w:tcPr>
            <w:tcW w:w="986" w:type="dxa"/>
            <w:vMerge w:val="continue"/>
            <w:vAlign w:val="center"/>
          </w:tcPr>
          <w:p>
            <w:pPr>
              <w:spacing w:line="300" w:lineRule="exact"/>
              <w:jc w:val="left"/>
              <w:outlineLvl w:val="0"/>
              <w:rPr>
                <w:rFonts w:cs="Times New Roman"/>
              </w:rPr>
            </w:pPr>
          </w:p>
        </w:tc>
        <w:tc>
          <w:tcPr>
            <w:tcW w:w="964" w:type="dxa"/>
            <w:vMerge w:val="continue"/>
            <w:vAlign w:val="center"/>
          </w:tcPr>
          <w:p>
            <w:pPr>
              <w:spacing w:line="300" w:lineRule="exact"/>
              <w:jc w:val="left"/>
              <w:outlineLvl w:val="0"/>
              <w:rPr>
                <w:rFonts w:cs="Times New Roman"/>
              </w:rPr>
            </w:pPr>
          </w:p>
        </w:tc>
        <w:tc>
          <w:tcPr>
            <w:tcW w:w="964"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合计</w:t>
            </w:r>
          </w:p>
        </w:tc>
        <w:tc>
          <w:tcPr>
            <w:tcW w:w="964"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一般公共预算拨款</w:t>
            </w:r>
          </w:p>
        </w:tc>
        <w:tc>
          <w:tcPr>
            <w:tcW w:w="964"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基金预算拨款</w:t>
            </w:r>
          </w:p>
        </w:tc>
        <w:tc>
          <w:tcPr>
            <w:tcW w:w="964"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财政专户核拨</w:t>
            </w:r>
          </w:p>
        </w:tc>
        <w:tc>
          <w:tcPr>
            <w:tcW w:w="964"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其他来源收入</w:t>
            </w:r>
          </w:p>
        </w:tc>
        <w:tc>
          <w:tcPr>
            <w:tcW w:w="909" w:type="dxa"/>
            <w:vMerge w:val="continue"/>
            <w:vAlign w:val="center"/>
          </w:tcPr>
          <w:p>
            <w:pPr>
              <w:spacing w:line="300" w:lineRule="exact"/>
              <w:jc w:val="left"/>
              <w:outlineLvl w:val="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合　计</w:t>
            </w:r>
          </w:p>
        </w:tc>
        <w:tc>
          <w:tcPr>
            <w:tcW w:w="1162" w:type="dxa"/>
            <w:vAlign w:val="center"/>
          </w:tcPr>
          <w:p>
            <w:pPr>
              <w:spacing w:line="300" w:lineRule="exact"/>
              <w:jc w:val="right"/>
              <w:rPr>
                <w:rFonts w:ascii="方正书宋_GBK" w:eastAsia="方正书宋_GBK" w:cs="Times New Roman"/>
                <w:b/>
              </w:rPr>
            </w:pPr>
          </w:p>
        </w:tc>
        <w:tc>
          <w:tcPr>
            <w:tcW w:w="965" w:type="dxa"/>
            <w:vAlign w:val="center"/>
          </w:tcPr>
          <w:p>
            <w:pPr>
              <w:spacing w:line="300" w:lineRule="exact"/>
              <w:jc w:val="left"/>
              <w:rPr>
                <w:rFonts w:ascii="方正书宋_GBK" w:eastAsia="方正书宋_GBK" w:cs="Times New Roman"/>
                <w:b/>
              </w:rPr>
            </w:pPr>
          </w:p>
        </w:tc>
        <w:tc>
          <w:tcPr>
            <w:tcW w:w="1054" w:type="dxa"/>
            <w:vAlign w:val="center"/>
          </w:tcPr>
          <w:p>
            <w:pPr>
              <w:spacing w:line="300" w:lineRule="exact"/>
              <w:jc w:val="left"/>
              <w:rPr>
                <w:rFonts w:ascii="方正书宋_GBK" w:eastAsia="方正书宋_GBK" w:cs="Times New Roman"/>
                <w:b/>
              </w:rPr>
            </w:pPr>
          </w:p>
        </w:tc>
        <w:tc>
          <w:tcPr>
            <w:tcW w:w="964" w:type="dxa"/>
            <w:vAlign w:val="center"/>
          </w:tcPr>
          <w:p>
            <w:pPr>
              <w:spacing w:line="300" w:lineRule="exact"/>
              <w:jc w:val="lef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86"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09"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center"/>
              <w:rPr>
                <w:rFonts w:ascii="方正书宋_GBK" w:eastAsia="方正书宋_GBK" w:cs="Times New Roman"/>
                <w:b/>
              </w:rPr>
            </w:pPr>
            <w:r>
              <w:rPr>
                <w:rFonts w:hint="eastAsia" w:ascii="方正书宋_GBK" w:eastAsia="方正书宋_GBK" w:cs="Times New Roman"/>
                <w:b/>
              </w:rPr>
              <w:t>河北女子职业技术学院小计</w:t>
            </w:r>
          </w:p>
        </w:tc>
        <w:tc>
          <w:tcPr>
            <w:tcW w:w="1162" w:type="dxa"/>
            <w:vAlign w:val="center"/>
          </w:tcPr>
          <w:p>
            <w:pPr>
              <w:spacing w:line="300" w:lineRule="exact"/>
              <w:jc w:val="right"/>
              <w:rPr>
                <w:rFonts w:ascii="方正书宋_GBK" w:eastAsia="方正书宋_GBK" w:cs="Times New Roman"/>
                <w:b/>
              </w:rPr>
            </w:pPr>
          </w:p>
        </w:tc>
        <w:tc>
          <w:tcPr>
            <w:tcW w:w="965" w:type="dxa"/>
            <w:vAlign w:val="center"/>
          </w:tcPr>
          <w:p>
            <w:pPr>
              <w:spacing w:line="300" w:lineRule="exact"/>
              <w:jc w:val="left"/>
              <w:rPr>
                <w:rFonts w:ascii="方正书宋_GBK" w:eastAsia="方正书宋_GBK" w:cs="Times New Roman"/>
                <w:b/>
              </w:rPr>
            </w:pPr>
          </w:p>
        </w:tc>
        <w:tc>
          <w:tcPr>
            <w:tcW w:w="1054" w:type="dxa"/>
            <w:vAlign w:val="center"/>
          </w:tcPr>
          <w:p>
            <w:pPr>
              <w:spacing w:line="300" w:lineRule="exact"/>
              <w:jc w:val="left"/>
              <w:rPr>
                <w:rFonts w:ascii="方正书宋_GBK" w:eastAsia="方正书宋_GBK" w:cs="Times New Roman"/>
                <w:b/>
              </w:rPr>
            </w:pPr>
          </w:p>
        </w:tc>
        <w:tc>
          <w:tcPr>
            <w:tcW w:w="964" w:type="dxa"/>
            <w:vAlign w:val="center"/>
          </w:tcPr>
          <w:p>
            <w:pPr>
              <w:spacing w:line="300" w:lineRule="exact"/>
              <w:jc w:val="lef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86"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r>
              <w:rPr>
                <w:rFonts w:ascii="方正书宋_GBK" w:eastAsia="方正书宋_GBK" w:cs="Times New Roman"/>
                <w:b/>
              </w:rPr>
              <w:t>2417.45</w:t>
            </w:r>
          </w:p>
        </w:tc>
        <w:tc>
          <w:tcPr>
            <w:tcW w:w="964"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64" w:type="dxa"/>
            <w:vAlign w:val="center"/>
          </w:tcPr>
          <w:p>
            <w:pPr>
              <w:spacing w:line="300" w:lineRule="exact"/>
              <w:jc w:val="right"/>
              <w:rPr>
                <w:rFonts w:ascii="方正书宋_GBK" w:eastAsia="方正书宋_GBK" w:cs="Times New Roman"/>
                <w:b/>
              </w:rPr>
            </w:pPr>
          </w:p>
        </w:tc>
        <w:tc>
          <w:tcPr>
            <w:tcW w:w="909"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2018年高职生均拨款-护理实训室设备采购（省级）</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286.50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医疗设备</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A0320</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批</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286.50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286.50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286.50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286.50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2018年创新行动-专业实训基地改造项目</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483.95</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计算机设备及软件</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A0201</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批</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475.95</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475.95</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475.95</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475.95</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2018年创新行动-专业实训基地改造项目</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483.95</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计算机网络设备</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A020102</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个</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8.00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2018年高职生均拨款-乘务类模拟实训设备（省级）</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230.00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其他货物</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A99</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套</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230.00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230.00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办学经费-现代服务系乘务类模拟实训设施建设项目一期</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80.00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其他货物</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A99</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套</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80.00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2018年创新行动-课程资源建设项目</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83.00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计算机设备及软件</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A0201</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批</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83.00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83.00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83.00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83.00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2018年高职生均拨款-校园环境提升及教学条件改善项目（中央）</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254.00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修缮工程</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B08</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项</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237.22</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237.22</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237.22</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237.22</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2018年高职生均拨款-气模体育馆工程（省级）</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1050.00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其他货物</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A99</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套</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800.00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800.00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2018年高职生均拨款-气模体育馆工程（省级）</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1050.00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其他货物</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A99</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套</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200.00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200.00</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200.00</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09" w:type="dxa"/>
            <w:vAlign w:val="center"/>
          </w:tcPr>
          <w:p>
            <w:pPr>
              <w:spacing w:line="300" w:lineRule="exact"/>
              <w:jc w:val="righ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569"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2018年高职生均拨款-校园环境提升及教学条件改善项目（中央）</w:t>
            </w:r>
          </w:p>
        </w:tc>
        <w:tc>
          <w:tcPr>
            <w:tcW w:w="1162" w:type="dxa"/>
            <w:vAlign w:val="center"/>
          </w:tcPr>
          <w:p>
            <w:pPr>
              <w:spacing w:line="300" w:lineRule="exact"/>
              <w:jc w:val="right"/>
              <w:rPr>
                <w:rFonts w:ascii="方正书宋_GBK" w:eastAsia="方正书宋_GBK" w:cs="Times New Roman"/>
              </w:rPr>
            </w:pPr>
            <w:r>
              <w:rPr>
                <w:rFonts w:ascii="方正书宋_GBK" w:eastAsia="方正书宋_GBK" w:cs="Times New Roman"/>
              </w:rPr>
              <w:t>254.00</w:t>
            </w:r>
          </w:p>
        </w:tc>
        <w:tc>
          <w:tcPr>
            <w:tcW w:w="965"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广播、电视、电影设备</w:t>
            </w:r>
          </w:p>
        </w:tc>
        <w:tc>
          <w:tcPr>
            <w:tcW w:w="1054" w:type="dxa"/>
            <w:vAlign w:val="center"/>
          </w:tcPr>
          <w:p>
            <w:pPr>
              <w:spacing w:line="300" w:lineRule="exact"/>
              <w:jc w:val="left"/>
              <w:rPr>
                <w:rFonts w:ascii="方正书宋_GBK" w:eastAsia="方正书宋_GBK" w:cs="Times New Roman"/>
              </w:rPr>
            </w:pPr>
            <w:r>
              <w:rPr>
                <w:rFonts w:ascii="方正书宋_GBK" w:eastAsia="方正书宋_GBK" w:cs="Times New Roman"/>
              </w:rPr>
              <w:t>A0209</w:t>
            </w:r>
          </w:p>
        </w:tc>
        <w:tc>
          <w:tcPr>
            <w:tcW w:w="964" w:type="dxa"/>
            <w:vAlign w:val="center"/>
          </w:tcPr>
          <w:p>
            <w:pPr>
              <w:spacing w:line="300" w:lineRule="exact"/>
              <w:jc w:val="left"/>
              <w:rPr>
                <w:rFonts w:ascii="方正书宋_GBK" w:eastAsia="方正书宋_GBK" w:cs="Times New Roman"/>
              </w:rPr>
            </w:pPr>
            <w:r>
              <w:rPr>
                <w:rFonts w:hint="eastAsia" w:ascii="方正书宋_GBK" w:eastAsia="方正书宋_GBK" w:cs="Times New Roman"/>
              </w:rPr>
              <w:t>批</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w:t>
            </w:r>
          </w:p>
        </w:tc>
        <w:tc>
          <w:tcPr>
            <w:tcW w:w="986" w:type="dxa"/>
            <w:vAlign w:val="center"/>
          </w:tcPr>
          <w:p>
            <w:pPr>
              <w:spacing w:line="300" w:lineRule="exact"/>
              <w:jc w:val="right"/>
              <w:rPr>
                <w:rFonts w:ascii="方正书宋_GBK" w:eastAsia="方正书宋_GBK" w:cs="Times New Roman"/>
              </w:rPr>
            </w:pPr>
            <w:r>
              <w:rPr>
                <w:rFonts w:ascii="方正书宋_GBK" w:eastAsia="方正书宋_GBK" w:cs="Times New Roman"/>
              </w:rPr>
              <w:t>16.78</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16.78</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16.78</w:t>
            </w:r>
          </w:p>
        </w:tc>
        <w:tc>
          <w:tcPr>
            <w:tcW w:w="964" w:type="dxa"/>
            <w:vAlign w:val="center"/>
          </w:tcPr>
          <w:p>
            <w:pPr>
              <w:spacing w:line="300" w:lineRule="exact"/>
              <w:jc w:val="right"/>
              <w:rPr>
                <w:rFonts w:ascii="方正书宋_GBK" w:eastAsia="方正书宋_GBK" w:cs="Times New Roman"/>
              </w:rPr>
            </w:pPr>
            <w:r>
              <w:rPr>
                <w:rFonts w:ascii="方正书宋_GBK" w:eastAsia="方正书宋_GBK" w:cs="Times New Roman"/>
              </w:rPr>
              <w:t>16.78</w:t>
            </w: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tc>
        <w:tc>
          <w:tcPr>
            <w:tcW w:w="964" w:type="dxa"/>
            <w:vAlign w:val="center"/>
          </w:tcPr>
          <w:p>
            <w:pPr>
              <w:spacing w:line="300" w:lineRule="exact"/>
              <w:jc w:val="right"/>
              <w:rPr>
                <w:rFonts w:ascii="方正书宋_GBK" w:eastAsia="方正书宋_GBK" w:cs="Times New Roman"/>
              </w:rPr>
            </w:pPr>
          </w:p>
          <w:bookmarkEnd w:id="4"/>
        </w:tc>
        <w:tc>
          <w:tcPr>
            <w:tcW w:w="909" w:type="dxa"/>
            <w:vAlign w:val="center"/>
          </w:tcPr>
          <w:p>
            <w:pPr>
              <w:spacing w:line="300" w:lineRule="exact"/>
              <w:jc w:val="right"/>
              <w:rPr>
                <w:rFonts w:ascii="方正书宋_GBK" w:eastAsia="方正书宋_GBK" w:cs="Times New Roman"/>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仿宋_GB2312" w:hAnsi="黑体" w:eastAsia="仿宋_GB2312" w:cs="Times New Roman"/>
          <w:sz w:val="32"/>
          <w:szCs w:val="32"/>
        </w:rPr>
      </w:pPr>
      <w:r>
        <w:rPr>
          <w:rFonts w:hint="eastAsia" w:ascii="仿宋_GB2312" w:hAnsi="黑体" w:eastAsia="仿宋_GB2312" w:cs="Times New Roman"/>
          <w:sz w:val="32"/>
          <w:szCs w:val="32"/>
        </w:rPr>
        <w:t>河北女子职业技术学院（含所属单位）上年末固定资产金额为6687.48万元（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本年度各处室拟购置固定资产</w:t>
      </w:r>
      <w:r>
        <w:rPr>
          <w:rFonts w:hint="eastAsia" w:ascii="仿宋_GB2312" w:hAnsi="Times New Roman" w:eastAsia="仿宋_GB2312" w:cs="Times New Roman"/>
          <w:sz w:val="32"/>
          <w:szCs w:val="32"/>
        </w:rPr>
        <w:t>总额为2180.23万元，</w:t>
      </w:r>
      <w:r>
        <w:rPr>
          <w:rFonts w:hint="eastAsia" w:ascii="仿宋_GB2312" w:hAnsi="黑体" w:eastAsia="仿宋_GB2312" w:cs="Times New Roman"/>
          <w:sz w:val="32"/>
          <w:szCs w:val="32"/>
        </w:rPr>
        <w:t>主要为护理实训设备、气模体育场购置、计算机设备、空乘高铁模拟舱购置等，已列入政府采购预算，详见政府采购预算表。</w:t>
      </w:r>
    </w:p>
    <w:tbl>
      <w:tblPr>
        <w:tblStyle w:val="6"/>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4"/>
        <w:gridCol w:w="3155"/>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河北省省直部门固定资产占用情况表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编制部门：河北女子职业技术学院</w:t>
            </w:r>
          </w:p>
        </w:tc>
        <w:tc>
          <w:tcPr>
            <w:tcW w:w="5103" w:type="dxa"/>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 xml:space="preserve">截止时间：2017年12月31日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6687.48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17388</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652.07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17388</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652.07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4</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5933.73</w:t>
            </w:r>
          </w:p>
        </w:tc>
      </w:tr>
    </w:tbl>
    <w:p>
      <w:pPr>
        <w:rPr>
          <w:rFonts w:ascii="仿宋_GB2312" w:hAnsi="黑体" w:eastAsia="仿宋_GB2312" w:cs="Times New Roman"/>
          <w:color w:val="FF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Times New Roman"/>
          <w:b/>
          <w:sz w:val="30"/>
          <w:szCs w:val="30"/>
        </w:rPr>
        <w:t>（一）公共财政预算拨款：</w:t>
      </w:r>
      <w:r>
        <w:rPr>
          <w:rFonts w:hint="eastAsia" w:ascii="华文仿宋" w:hAnsi="华文仿宋" w:eastAsia="华文仿宋" w:cs="Arial"/>
          <w:sz w:val="30"/>
          <w:szCs w:val="30"/>
          <w:shd w:val="clear" w:color="auto" w:fill="FFFFFF"/>
        </w:rPr>
        <w:t>是指事业单位直接从财政部门取得的和通过主管部门从财政部门取得的各类事业经费，包括正常经费和专项资金。</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Times New Roman"/>
          <w:b/>
          <w:sz w:val="30"/>
          <w:szCs w:val="30"/>
        </w:rPr>
        <w:t>（二）项目支出</w:t>
      </w:r>
      <w:r>
        <w:rPr>
          <w:rFonts w:hint="eastAsia" w:ascii="华文仿宋" w:hAnsi="华文仿宋" w:eastAsia="华文仿宋" w:cs="Times New Roman"/>
          <w:sz w:val="30"/>
          <w:szCs w:val="30"/>
        </w:rPr>
        <w:t>：</w:t>
      </w:r>
      <w:r>
        <w:rPr>
          <w:rFonts w:hint="eastAsia" w:ascii="华文仿宋" w:hAnsi="华文仿宋" w:eastAsia="华文仿宋" w:cs="Arial"/>
          <w:sz w:val="30"/>
          <w:szCs w:val="30"/>
          <w:shd w:val="clear" w:color="auto" w:fill="FFFFFF"/>
        </w:rPr>
        <w:t xml:space="preserve">行政事业单位为完成特定的工作任务或事业发展目标，在基本的预算支出以外，财政预算专项安排的支出。 </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Arial"/>
          <w:b/>
          <w:sz w:val="30"/>
          <w:szCs w:val="30"/>
          <w:shd w:val="clear" w:color="auto" w:fill="FFFFFF"/>
        </w:rPr>
        <w:t>（三）“三公”经费：</w:t>
      </w:r>
      <w:r>
        <w:rPr>
          <w:rFonts w:hint="eastAsia" w:ascii="华文仿宋" w:hAnsi="华文仿宋" w:eastAsia="华文仿宋" w:cs="Arial"/>
          <w:sz w:val="30"/>
          <w:szCs w:val="30"/>
          <w:shd w:val="clear" w:color="auto" w:fill="FFFFFF"/>
        </w:rPr>
        <w:t>纳入省级财政预决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tabs>
          <w:tab w:val="left" w:pos="11490"/>
        </w:tabs>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（四）</w:t>
      </w:r>
      <w:r>
        <w:rPr>
          <w:rFonts w:ascii="华文仿宋" w:hAnsi="华文仿宋" w:eastAsia="华文仿宋" w:cs="Times New Roman"/>
          <w:b/>
          <w:sz w:val="32"/>
          <w:szCs w:val="32"/>
        </w:rPr>
        <w:t>事业收入：</w:t>
      </w:r>
      <w:r>
        <w:rPr>
          <w:rFonts w:ascii="华文仿宋" w:hAnsi="华文仿宋" w:eastAsia="华文仿宋" w:cs="Times New Roman"/>
          <w:sz w:val="32"/>
          <w:szCs w:val="32"/>
        </w:rPr>
        <w:t>指事业单位开展专业业务活动及辅助活动所取得的收入。</w:t>
      </w:r>
    </w:p>
    <w:p>
      <w:pPr>
        <w:tabs>
          <w:tab w:val="left" w:pos="11490"/>
        </w:tabs>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（五）</w:t>
      </w:r>
      <w:r>
        <w:rPr>
          <w:rFonts w:ascii="华文仿宋" w:hAnsi="华文仿宋" w:eastAsia="华文仿宋" w:cs="Times New Roman"/>
          <w:b/>
          <w:sz w:val="32"/>
          <w:szCs w:val="32"/>
        </w:rPr>
        <w:t>基本支出：</w:t>
      </w:r>
      <w:r>
        <w:rPr>
          <w:rFonts w:hint="eastAsia" w:ascii="华文仿宋" w:hAnsi="华文仿宋" w:eastAsia="华文仿宋" w:cs="Times New Roman"/>
          <w:sz w:val="32"/>
          <w:szCs w:val="32"/>
        </w:rPr>
        <w:t>指为保障机构正常运转、完成日常工作任务而发生的人员支出和公用支出。</w:t>
      </w:r>
    </w:p>
    <w:p>
      <w:pPr>
        <w:tabs>
          <w:tab w:val="left" w:pos="11490"/>
        </w:tabs>
        <w:ind w:firstLine="641" w:firstLineChars="200"/>
        <w:rPr>
          <w:rFonts w:ascii="华文仿宋" w:hAnsi="华文仿宋" w:eastAsia="华文仿宋" w:cs="Times New Roman"/>
          <w:sz w:val="32"/>
          <w:szCs w:val="32"/>
        </w:rPr>
      </w:pPr>
      <w:bookmarkStart w:id="6" w:name="_GoBack"/>
      <w:bookmarkEnd w:id="6"/>
      <w:r>
        <w:rPr>
          <w:rFonts w:hint="eastAsia" w:ascii="华文仿宋" w:hAnsi="华文仿宋" w:eastAsia="华文仿宋" w:cs="Times New Roman"/>
          <w:b/>
          <w:sz w:val="32"/>
          <w:szCs w:val="32"/>
        </w:rPr>
        <w:t>（六）</w:t>
      </w:r>
      <w:r>
        <w:rPr>
          <w:rFonts w:ascii="华文仿宋" w:hAnsi="华文仿宋" w:eastAsia="华文仿宋" w:cs="Times New Roman"/>
          <w:b/>
          <w:sz w:val="32"/>
          <w:szCs w:val="32"/>
        </w:rPr>
        <w:t>机关运行费：</w:t>
      </w:r>
      <w:r>
        <w:rPr>
          <w:rFonts w:hint="eastAsia" w:ascii="华文仿宋" w:hAnsi="华文仿宋" w:eastAsia="华文仿宋"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left="198" w:firstLine="640" w:firstLineChars="200"/>
        <w:jc w:val="left"/>
        <w:rPr>
          <w:rFonts w:ascii="仿宋_GB2312" w:hAnsi="Times New Roman" w:eastAsia="仿宋_GB2312" w:cs="Times New Roman"/>
          <w:sz w:val="32"/>
          <w:szCs w:val="32"/>
        </w:rPr>
      </w:pPr>
      <w:r>
        <w:rPr>
          <w:rFonts w:hint="eastAsia" w:ascii="黑体" w:hAnsi="黑体" w:eastAsia="黑体" w:cs="Times New Roman"/>
          <w:sz w:val="32"/>
          <w:szCs w:val="32"/>
        </w:rPr>
        <w:t>九、其他需要说明的事项：</w:t>
      </w:r>
      <w:r>
        <w:rPr>
          <w:rFonts w:hint="eastAsia" w:ascii="华文仿宋" w:hAnsi="华文仿宋" w:eastAsia="华文仿宋"/>
          <w:sz w:val="30"/>
          <w:szCs w:val="30"/>
        </w:rPr>
        <w:t>我院属于教育办学机构，无政府基金收支以及国有资本经营预算财政拨款支出情况，特此说明。</w:t>
      </w:r>
      <w:r>
        <w:rPr>
          <w:rFonts w:ascii="华文仿宋" w:hAnsi="华文仿宋" w:eastAsia="华文仿宋"/>
          <w:sz w:val="30"/>
          <w:szCs w:val="30"/>
        </w:rPr>
        <w:br w:type="textWrapp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be955bad-0bb9-45fd-87fd-71fa61757dfa"/>
  </w:docVars>
  <w:rsids>
    <w:rsidRoot w:val="00000000"/>
    <w:rsid w:val="48ED50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toc 1"/>
    <w:basedOn w:val="1"/>
    <w:next w:val="1"/>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paragraph" w:customStyle="1" w:styleId="8">
    <w:name w:val="批注框文本1"/>
    <w:basedOn w:val="1"/>
    <w:link w:val="9"/>
    <w:uiPriority w:val="0"/>
    <w:rPr>
      <w:sz w:val="18"/>
      <w:szCs w:val="18"/>
    </w:rPr>
  </w:style>
  <w:style w:type="character" w:customStyle="1" w:styleId="9">
    <w:name w:val="批注框文本 Char"/>
    <w:link w:val="8"/>
    <w:semiHidden/>
    <w:qFormat/>
    <w:uiPriority w:val="0"/>
    <w:rPr>
      <w:sz w:val="18"/>
      <w:szCs w:val="18"/>
    </w:rPr>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semiHidden/>
    <w:qFormat/>
    <w:uiPriority w:val="0"/>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4550</Words>
  <Characters>5288</Characters>
  <Lines>42</Lines>
  <Paragraphs>11</Paragraphs>
  <TotalTime>2</TotalTime>
  <ScaleCrop>false</ScaleCrop>
  <LinksUpToDate>false</LinksUpToDate>
  <CharactersWithSpaces>5324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2017-01-13T19:22:00Z</dcterms:created>
  <dc:creator>guest</dc:creator>
  <cp:lastModifiedBy>刚子</cp:lastModifiedBy>
  <cp:lastPrinted>2018-01-31T00:01:00Z</cp:lastPrinted>
  <dcterms:modified xsi:type="dcterms:W3CDTF">2024-01-19T01:21:15Z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8381678CF1F745DEA17C79CEC78C5A5A</vt:lpwstr>
  </property>
</Properties>
</file>