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河北</w:t>
      </w:r>
      <w:r>
        <w:rPr>
          <w:rFonts w:hint="eastAsia" w:ascii="Times New Roman" w:hAnsi="Times New Roman" w:eastAsia="方正小标宋_GBK" w:cs="Times New Roman"/>
          <w:sz w:val="44"/>
          <w:szCs w:val="44"/>
        </w:rPr>
        <w:t>女子职业技术学院</w:t>
      </w:r>
    </w:p>
    <w:p>
      <w:pPr>
        <w:ind w:firstLine="880" w:firstLineChars="200"/>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9</w:t>
      </w:r>
      <w:r>
        <w:rPr>
          <w:rFonts w:ascii="Times New Roman" w:hAnsi="Times New Roman" w:eastAsia="方正小标宋_GBK" w:cs="Times New Roman"/>
          <w:sz w:val="44"/>
          <w:szCs w:val="44"/>
        </w:rPr>
        <w:t>年部门预算信息公开</w:t>
      </w:r>
      <w:r>
        <w:rPr>
          <w:rFonts w:hint="eastAsia" w:ascii="Times New Roman" w:hAnsi="Times New Roman" w:eastAsia="方正小标宋_GBK" w:cs="Times New Roman"/>
          <w:sz w:val="44"/>
          <w:szCs w:val="44"/>
        </w:rPr>
        <w:t>说明</w:t>
      </w:r>
    </w:p>
    <w:p>
      <w:pPr>
        <w:ind w:firstLine="640" w:firstLineChars="200"/>
        <w:rPr>
          <w:rFonts w:ascii="仿宋" w:hAnsi="仿宋" w:eastAsia="仿宋" w:cs="Times New Roman"/>
          <w:sz w:val="32"/>
          <w:szCs w:val="32"/>
        </w:rPr>
      </w:pPr>
      <w:r>
        <w:rPr>
          <w:rFonts w:ascii="仿宋" w:hAnsi="仿宋" w:eastAsia="仿宋" w:cs="Times New Roman"/>
          <w:sz w:val="32"/>
          <w:szCs w:val="32"/>
        </w:rPr>
        <w:t>按照</w:t>
      </w:r>
      <w:r>
        <w:rPr>
          <w:rFonts w:hint="eastAsia" w:ascii="仿宋" w:hAnsi="仿宋" w:eastAsia="仿宋" w:cs="Times New Roman"/>
          <w:sz w:val="32"/>
          <w:szCs w:val="32"/>
        </w:rPr>
        <w:t>《</w:t>
      </w:r>
      <w:r>
        <w:rPr>
          <w:rFonts w:hint="eastAsia" w:ascii="仿宋" w:hAnsi="仿宋" w:eastAsia="仿宋" w:cs="Times New Roman"/>
          <w:sz w:val="32"/>
          <w:szCs w:val="32"/>
          <w:lang w:eastAsia="zh-CN"/>
        </w:rPr>
        <w:t>中华人民共和国</w:t>
      </w:r>
      <w:r>
        <w:rPr>
          <w:rFonts w:hint="eastAsia" w:ascii="仿宋" w:hAnsi="仿宋" w:eastAsia="仿宋" w:cs="Times New Roman"/>
          <w:sz w:val="32"/>
          <w:szCs w:val="32"/>
        </w:rPr>
        <w:t>预算法》、</w:t>
      </w:r>
      <w:r>
        <w:rPr>
          <w:rFonts w:ascii="仿宋" w:hAnsi="仿宋" w:eastAsia="仿宋" w:cs="Times New Roman"/>
          <w:sz w:val="32"/>
          <w:szCs w:val="32"/>
        </w:rPr>
        <w:t>《地方预决算公开操作规程》和《河北省省级预算公开办法》</w:t>
      </w:r>
      <w:r>
        <w:rPr>
          <w:rFonts w:hint="eastAsia" w:ascii="仿宋" w:hAnsi="仿宋" w:eastAsia="仿宋" w:cs="Times New Roman"/>
          <w:sz w:val="32"/>
          <w:szCs w:val="32"/>
        </w:rPr>
        <w:t>规定</w:t>
      </w:r>
      <w:r>
        <w:rPr>
          <w:rFonts w:ascii="仿宋" w:hAnsi="仿宋" w:eastAsia="仿宋" w:cs="Times New Roman"/>
          <w:sz w:val="32"/>
          <w:szCs w:val="32"/>
        </w:rPr>
        <w:t>，现将河北</w:t>
      </w:r>
      <w:r>
        <w:rPr>
          <w:rFonts w:hint="eastAsia" w:ascii="仿宋" w:hAnsi="仿宋" w:eastAsia="仿宋" w:cs="Times New Roman"/>
          <w:sz w:val="32"/>
          <w:szCs w:val="32"/>
        </w:rPr>
        <w:t>女子职业技术学院</w:t>
      </w:r>
      <w:r>
        <w:rPr>
          <w:rFonts w:ascii="仿宋" w:hAnsi="仿宋" w:eastAsia="仿宋" w:cs="Times New Roman"/>
          <w:sz w:val="32"/>
          <w:szCs w:val="32"/>
        </w:rPr>
        <w:t>201</w:t>
      </w:r>
      <w:r>
        <w:rPr>
          <w:rFonts w:hint="eastAsia" w:ascii="仿宋" w:hAnsi="仿宋" w:eastAsia="仿宋" w:cs="Times New Roman"/>
          <w:sz w:val="32"/>
          <w:szCs w:val="32"/>
        </w:rPr>
        <w:t>9</w:t>
      </w:r>
      <w:r>
        <w:rPr>
          <w:rFonts w:ascii="仿宋" w:hAnsi="仿宋" w:eastAsia="仿宋" w:cs="Times New Roman"/>
          <w:sz w:val="32"/>
          <w:szCs w:val="32"/>
        </w:rPr>
        <w:t>年部门预算公开如下：</w:t>
      </w:r>
    </w:p>
    <w:p>
      <w:pPr>
        <w:ind w:firstLine="640"/>
        <w:rPr>
          <w:rFonts w:ascii="仿宋" w:hAnsi="仿宋" w:eastAsia="仿宋" w:cs="Times New Roman"/>
          <w:sz w:val="32"/>
          <w:szCs w:val="32"/>
        </w:rPr>
      </w:pPr>
      <w:r>
        <w:rPr>
          <w:rFonts w:hint="eastAsia" w:ascii="仿宋" w:hAnsi="仿宋" w:eastAsia="仿宋" w:cs="Times New Roman"/>
          <w:sz w:val="32"/>
          <w:szCs w:val="32"/>
        </w:rPr>
        <w:t>一、部门职责及机构设置情况</w:t>
      </w:r>
    </w:p>
    <w:p>
      <w:pPr>
        <w:ind w:firstLine="643" w:firstLineChars="200"/>
        <w:rPr>
          <w:rFonts w:ascii="仿宋" w:hAnsi="仿宋" w:eastAsia="仿宋" w:cs="Times New Roman"/>
          <w:sz w:val="32"/>
          <w:szCs w:val="32"/>
        </w:rPr>
      </w:pPr>
      <w:r>
        <w:rPr>
          <w:rFonts w:hint="eastAsia" w:ascii="仿宋" w:hAnsi="仿宋" w:eastAsia="仿宋" w:cs="Times New Roman"/>
          <w:b/>
          <w:sz w:val="32"/>
          <w:szCs w:val="32"/>
        </w:rPr>
        <w:t>部门</w:t>
      </w:r>
      <w:r>
        <w:rPr>
          <w:rFonts w:ascii="仿宋" w:hAnsi="仿宋" w:eastAsia="仿宋" w:cs="Times New Roman"/>
          <w:b/>
          <w:sz w:val="32"/>
          <w:szCs w:val="32"/>
        </w:rPr>
        <w:t>职责：</w:t>
      </w:r>
      <w:r>
        <w:rPr>
          <w:rFonts w:hint="eastAsia" w:ascii="仿宋" w:hAnsi="仿宋" w:eastAsia="仿宋" w:cs="Times New Roman"/>
          <w:sz w:val="32"/>
          <w:szCs w:val="32"/>
        </w:rPr>
        <w:t>根据《河北女子职业技术学院职能配置、内设机构和人员编制方案》规定，我院主要职责是学历教育、妇联干部培训及成人教育。</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学历教育：主要是培养适应生产、建设、管理、服务第一线需要的、具有良好职业道德的女性技术技能型人才，依托内涵建设，打造校园优美、管理规范、质量优良、充满活力的全国知名女子高等学府。</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妇联干部培训：举办以各级妇女干部为主的短期岗位培训，按照实际需要制定培训计划，满足各级妇女干部理论、实践和管理能力的提升。</w:t>
      </w:r>
    </w:p>
    <w:p>
      <w:pPr>
        <w:ind w:firstLine="640" w:firstLineChars="200"/>
        <w:rPr>
          <w:rFonts w:ascii="仿宋" w:hAnsi="仿宋" w:eastAsia="仿宋" w:cs="Times New Roman"/>
          <w:sz w:val="32"/>
          <w:szCs w:val="32"/>
        </w:rPr>
      </w:pPr>
      <w:r>
        <w:rPr>
          <w:rFonts w:hint="eastAsia" w:ascii="仿宋" w:hAnsi="仿宋" w:eastAsia="仿宋" w:cs="Times New Roman"/>
          <w:sz w:val="32"/>
          <w:szCs w:val="32"/>
        </w:rPr>
        <w:t>成人教育：根据学院各专业教学计划，组织教师按教学计划进行教学工作，开展学生资格证考试工作及实践实训课程工作；开展成人学历教育及企业职工岗位培训非学历教育。</w:t>
      </w:r>
    </w:p>
    <w:p>
      <w:pPr>
        <w:autoSpaceDE w:val="0"/>
        <w:autoSpaceDN w:val="0"/>
        <w:adjustRightInd w:val="0"/>
        <w:ind w:left="198" w:firstLine="643" w:firstLineChars="200"/>
        <w:jc w:val="left"/>
        <w:rPr>
          <w:rFonts w:ascii="仿宋" w:hAnsi="仿宋" w:eastAsia="仿宋" w:cs="Times New Roman"/>
          <w:sz w:val="32"/>
          <w:szCs w:val="32"/>
        </w:rPr>
      </w:pPr>
      <w:r>
        <w:rPr>
          <w:rFonts w:hint="eastAsia" w:ascii="仿宋" w:hAnsi="仿宋" w:eastAsia="仿宋" w:cs="Times New Roman"/>
          <w:b/>
          <w:sz w:val="32"/>
          <w:szCs w:val="32"/>
        </w:rPr>
        <w:t>机构设置：</w:t>
      </w:r>
      <w:r>
        <w:rPr>
          <w:rFonts w:hint="eastAsia" w:ascii="仿宋" w:hAnsi="仿宋" w:eastAsia="仿宋" w:cs="Times New Roman"/>
          <w:sz w:val="32"/>
          <w:szCs w:val="32"/>
        </w:rPr>
        <w:t>我院为省一级预算单位，定额定项补助事业单位，没有下属部门，目前学院机构设置为：</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1、党政群管理机构：</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学院办公室、组织人事部、纪检监察处、教务处、学生处、后勤管理处、财务处。</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2、教学机构：</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基础教学部、继续教育部、学前教育系、现代服务系、艺术设计系、经济管理系、护理系。</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3、教辅机构：</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女性教育研究所、图书馆、创新创业学院。</w:t>
      </w:r>
    </w:p>
    <w:p>
      <w:pPr>
        <w:jc w:val="center"/>
        <w:outlineLvl w:val="0"/>
        <w:rPr>
          <w:rFonts w:ascii="仿宋" w:hAnsi="仿宋" w:eastAsia="仿宋" w:cs="Times New Roman"/>
          <w:sz w:val="32"/>
          <w:szCs w:val="24"/>
        </w:rPr>
      </w:pPr>
      <w:r>
        <w:rPr>
          <w:rFonts w:ascii="仿宋" w:hAnsi="仿宋" w:eastAsia="仿宋" w:cs="Times New Roman"/>
          <w:sz w:val="32"/>
          <w:szCs w:val="24"/>
        </w:rPr>
        <w:t>部门</w:t>
      </w:r>
      <w:r>
        <w:rPr>
          <w:rFonts w:hint="eastAsia" w:ascii="仿宋" w:hAnsi="仿宋" w:eastAsia="仿宋" w:cs="Times New Roman"/>
          <w:sz w:val="32"/>
          <w:szCs w:val="24"/>
        </w:rPr>
        <w:t>机构设置情况</w:t>
      </w:r>
    </w:p>
    <w:tbl>
      <w:tblPr>
        <w:tblStyle w:val="8"/>
        <w:tblW w:w="81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401"/>
        <w:gridCol w:w="1134"/>
        <w:gridCol w:w="1276"/>
        <w:gridCol w:w="23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401" w:type="dxa"/>
            <w:vMerge w:val="restart"/>
            <w:vAlign w:val="center"/>
          </w:tcPr>
          <w:p>
            <w:pPr>
              <w:spacing w:line="300" w:lineRule="exact"/>
              <w:jc w:val="center"/>
              <w:rPr>
                <w:rFonts w:ascii="仿宋" w:hAnsi="仿宋" w:eastAsia="仿宋" w:cs="Times New Roman"/>
                <w:b/>
                <w:szCs w:val="24"/>
              </w:rPr>
            </w:pPr>
            <w:r>
              <w:rPr>
                <w:rFonts w:ascii="仿宋" w:hAnsi="仿宋" w:eastAsia="仿宋" w:cs="Times New Roman"/>
                <w:b/>
                <w:szCs w:val="24"/>
              </w:rPr>
              <w:t>单位名称</w:t>
            </w:r>
          </w:p>
        </w:tc>
        <w:tc>
          <w:tcPr>
            <w:tcW w:w="1134" w:type="dxa"/>
            <w:vMerge w:val="restart"/>
            <w:vAlign w:val="center"/>
          </w:tcPr>
          <w:p>
            <w:pPr>
              <w:spacing w:line="300" w:lineRule="exact"/>
              <w:jc w:val="center"/>
              <w:rPr>
                <w:rFonts w:ascii="仿宋" w:hAnsi="仿宋" w:eastAsia="仿宋" w:cs="Times New Roman"/>
                <w:b/>
                <w:szCs w:val="24"/>
              </w:rPr>
            </w:pPr>
            <w:r>
              <w:rPr>
                <w:rFonts w:ascii="仿宋" w:hAnsi="仿宋" w:eastAsia="仿宋" w:cs="Times New Roman"/>
                <w:b/>
                <w:szCs w:val="24"/>
              </w:rPr>
              <w:t>单位性质</w:t>
            </w:r>
          </w:p>
        </w:tc>
        <w:tc>
          <w:tcPr>
            <w:tcW w:w="1276" w:type="dxa"/>
            <w:vMerge w:val="restart"/>
            <w:vAlign w:val="center"/>
          </w:tcPr>
          <w:p>
            <w:pPr>
              <w:spacing w:line="300" w:lineRule="exact"/>
              <w:jc w:val="center"/>
              <w:rPr>
                <w:rFonts w:ascii="仿宋" w:hAnsi="仿宋" w:eastAsia="仿宋" w:cs="Times New Roman"/>
                <w:b/>
                <w:szCs w:val="24"/>
              </w:rPr>
            </w:pPr>
            <w:r>
              <w:rPr>
                <w:rFonts w:ascii="仿宋" w:hAnsi="仿宋" w:eastAsia="仿宋" w:cs="Times New Roman"/>
                <w:b/>
                <w:szCs w:val="24"/>
              </w:rPr>
              <w:t>单位规格</w:t>
            </w:r>
          </w:p>
        </w:tc>
        <w:tc>
          <w:tcPr>
            <w:tcW w:w="2385" w:type="dxa"/>
            <w:vMerge w:val="restart"/>
            <w:vAlign w:val="center"/>
          </w:tcPr>
          <w:p>
            <w:pPr>
              <w:spacing w:line="300" w:lineRule="exact"/>
              <w:jc w:val="center"/>
              <w:rPr>
                <w:rFonts w:ascii="仿宋" w:hAnsi="仿宋" w:eastAsia="仿宋" w:cs="Times New Roman"/>
                <w:b/>
                <w:szCs w:val="24"/>
              </w:rPr>
            </w:pPr>
            <w:r>
              <w:rPr>
                <w:rFonts w:ascii="仿宋" w:hAnsi="仿宋" w:eastAsia="仿宋" w:cs="Times New Roman"/>
                <w:b/>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3401" w:type="dxa"/>
            <w:vMerge w:val="continue"/>
            <w:vAlign w:val="center"/>
          </w:tcPr>
          <w:p>
            <w:pPr>
              <w:spacing w:line="300" w:lineRule="exact"/>
              <w:jc w:val="left"/>
              <w:outlineLvl w:val="0"/>
              <w:rPr>
                <w:rFonts w:ascii="仿宋" w:hAnsi="仿宋" w:eastAsia="仿宋" w:cs="Times New Roman"/>
                <w:szCs w:val="24"/>
              </w:rPr>
            </w:pPr>
          </w:p>
        </w:tc>
        <w:tc>
          <w:tcPr>
            <w:tcW w:w="1134" w:type="dxa"/>
            <w:vMerge w:val="continue"/>
            <w:vAlign w:val="center"/>
          </w:tcPr>
          <w:p>
            <w:pPr>
              <w:spacing w:line="300" w:lineRule="exact"/>
              <w:jc w:val="left"/>
              <w:outlineLvl w:val="0"/>
              <w:rPr>
                <w:rFonts w:ascii="仿宋" w:hAnsi="仿宋" w:eastAsia="仿宋" w:cs="Times New Roman"/>
                <w:szCs w:val="24"/>
              </w:rPr>
            </w:pPr>
          </w:p>
        </w:tc>
        <w:tc>
          <w:tcPr>
            <w:tcW w:w="1276" w:type="dxa"/>
            <w:vMerge w:val="continue"/>
            <w:vAlign w:val="center"/>
          </w:tcPr>
          <w:p>
            <w:pPr>
              <w:spacing w:line="300" w:lineRule="exact"/>
              <w:jc w:val="left"/>
              <w:outlineLvl w:val="0"/>
              <w:rPr>
                <w:rFonts w:ascii="仿宋" w:hAnsi="仿宋" w:eastAsia="仿宋" w:cs="Times New Roman"/>
                <w:szCs w:val="24"/>
              </w:rPr>
            </w:pPr>
          </w:p>
        </w:tc>
        <w:tc>
          <w:tcPr>
            <w:tcW w:w="2385" w:type="dxa"/>
            <w:vMerge w:val="continue"/>
            <w:vAlign w:val="center"/>
          </w:tcPr>
          <w:p>
            <w:pPr>
              <w:spacing w:line="300" w:lineRule="exact"/>
              <w:jc w:val="left"/>
              <w:outlineLvl w:val="0"/>
              <w:rPr>
                <w:rFonts w:ascii="仿宋" w:hAnsi="仿宋" w:eastAsia="仿宋" w:cs="Times New Roman"/>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401" w:type="dxa"/>
            <w:vAlign w:val="center"/>
          </w:tcPr>
          <w:p>
            <w:pPr>
              <w:spacing w:line="300" w:lineRule="exact"/>
              <w:jc w:val="left"/>
              <w:rPr>
                <w:rFonts w:ascii="仿宋" w:hAnsi="仿宋" w:eastAsia="仿宋" w:cs="Times New Roman"/>
                <w:szCs w:val="24"/>
              </w:rPr>
            </w:pPr>
            <w:r>
              <w:rPr>
                <w:rFonts w:hint="eastAsia" w:ascii="仿宋" w:hAnsi="仿宋" w:eastAsia="仿宋" w:cs="Times New Roman"/>
                <w:szCs w:val="24"/>
              </w:rPr>
              <w:t>河北女子职业技术学院</w:t>
            </w:r>
          </w:p>
        </w:tc>
        <w:tc>
          <w:tcPr>
            <w:tcW w:w="1134" w:type="dxa"/>
            <w:vAlign w:val="center"/>
          </w:tcPr>
          <w:p>
            <w:pPr>
              <w:spacing w:line="300" w:lineRule="exact"/>
              <w:jc w:val="left"/>
              <w:rPr>
                <w:rFonts w:ascii="仿宋" w:hAnsi="仿宋" w:eastAsia="仿宋" w:cs="Times New Roman"/>
                <w:szCs w:val="24"/>
              </w:rPr>
            </w:pPr>
            <w:r>
              <w:rPr>
                <w:rFonts w:hint="eastAsia" w:ascii="仿宋" w:hAnsi="仿宋" w:eastAsia="仿宋" w:cs="Times New Roman"/>
                <w:szCs w:val="24"/>
              </w:rPr>
              <w:t>事业单位</w:t>
            </w:r>
          </w:p>
        </w:tc>
        <w:tc>
          <w:tcPr>
            <w:tcW w:w="1276" w:type="dxa"/>
            <w:vAlign w:val="center"/>
          </w:tcPr>
          <w:p>
            <w:pPr>
              <w:spacing w:line="300" w:lineRule="exact"/>
              <w:ind w:firstLine="105" w:firstLineChars="50"/>
              <w:jc w:val="left"/>
              <w:rPr>
                <w:rFonts w:ascii="仿宋" w:hAnsi="仿宋" w:eastAsia="仿宋" w:cs="Times New Roman"/>
                <w:szCs w:val="24"/>
              </w:rPr>
            </w:pPr>
            <w:r>
              <w:rPr>
                <w:rFonts w:hint="eastAsia" w:ascii="仿宋" w:hAnsi="仿宋" w:eastAsia="仿宋" w:cs="Times New Roman"/>
                <w:szCs w:val="24"/>
              </w:rPr>
              <w:t>副厅级</w:t>
            </w:r>
          </w:p>
        </w:tc>
        <w:tc>
          <w:tcPr>
            <w:tcW w:w="2385" w:type="dxa"/>
            <w:vAlign w:val="center"/>
          </w:tcPr>
          <w:p>
            <w:pPr>
              <w:spacing w:line="300" w:lineRule="exact"/>
              <w:ind w:firstLine="420" w:firstLineChars="200"/>
              <w:jc w:val="left"/>
              <w:rPr>
                <w:rFonts w:ascii="仿宋" w:hAnsi="仿宋" w:eastAsia="仿宋" w:cs="Times New Roman"/>
                <w:szCs w:val="24"/>
              </w:rPr>
            </w:pPr>
            <w:r>
              <w:rPr>
                <w:rFonts w:hint="eastAsia" w:ascii="仿宋" w:hAnsi="仿宋" w:eastAsia="仿宋" w:cs="Times New Roman"/>
                <w:szCs w:val="24"/>
              </w:rPr>
              <w:t>定额定项补助</w:t>
            </w:r>
          </w:p>
        </w:tc>
      </w:tr>
    </w:tbl>
    <w:p>
      <w:pPr>
        <w:autoSpaceDE w:val="0"/>
        <w:autoSpaceDN w:val="0"/>
        <w:adjustRightInd w:val="0"/>
        <w:ind w:left="198" w:firstLine="640" w:firstLineChars="200"/>
        <w:jc w:val="center"/>
        <w:rPr>
          <w:rFonts w:ascii="仿宋" w:hAnsi="仿宋" w:eastAsia="仿宋" w:cs="Times New Roman"/>
          <w:sz w:val="32"/>
          <w:szCs w:val="32"/>
        </w:rPr>
      </w:pPr>
    </w:p>
    <w:p>
      <w:pPr>
        <w:ind w:firstLine="640"/>
        <w:rPr>
          <w:rFonts w:ascii="仿宋" w:hAnsi="仿宋" w:eastAsia="仿宋" w:cs="Times New Roman"/>
          <w:sz w:val="32"/>
          <w:szCs w:val="32"/>
        </w:rPr>
      </w:pPr>
      <w:r>
        <w:rPr>
          <w:rFonts w:hint="eastAsia" w:ascii="仿宋" w:hAnsi="仿宋" w:eastAsia="仿宋" w:cs="Times New Roman"/>
          <w:sz w:val="32"/>
          <w:szCs w:val="32"/>
        </w:rPr>
        <w:t>二、部门预算安排的总体情况</w:t>
      </w:r>
    </w:p>
    <w:p>
      <w:pPr>
        <w:ind w:firstLine="640"/>
        <w:rPr>
          <w:rFonts w:ascii="仿宋" w:hAnsi="仿宋" w:eastAsia="仿宋" w:cs="Times New Roman"/>
          <w:sz w:val="32"/>
          <w:szCs w:val="32"/>
        </w:rPr>
      </w:pPr>
      <w:r>
        <w:rPr>
          <w:rFonts w:ascii="仿宋" w:hAnsi="仿宋" w:eastAsia="仿宋" w:cs="Times New Roman"/>
          <w:sz w:val="32"/>
          <w:szCs w:val="32"/>
        </w:rPr>
        <w:t>按照预算管理有关规定，目前我省部门预算的编制实行综合预算</w:t>
      </w:r>
      <w:r>
        <w:rPr>
          <w:rFonts w:hint="eastAsia" w:ascii="仿宋" w:hAnsi="仿宋" w:eastAsia="仿宋" w:cs="Times New Roman"/>
          <w:sz w:val="32"/>
          <w:szCs w:val="32"/>
        </w:rPr>
        <w:t>管理</w:t>
      </w:r>
      <w:r>
        <w:rPr>
          <w:rFonts w:ascii="仿宋" w:hAnsi="仿宋" w:eastAsia="仿宋" w:cs="Times New Roman"/>
          <w:sz w:val="32"/>
          <w:szCs w:val="32"/>
        </w:rPr>
        <w:t>，即全部收入和支出都反映</w:t>
      </w:r>
      <w:r>
        <w:rPr>
          <w:rFonts w:hint="eastAsia" w:ascii="仿宋" w:hAnsi="仿宋" w:eastAsia="仿宋" w:cs="Times New Roman"/>
          <w:sz w:val="32"/>
          <w:szCs w:val="32"/>
        </w:rPr>
        <w:t>在</w:t>
      </w:r>
      <w:r>
        <w:rPr>
          <w:rFonts w:ascii="仿宋" w:hAnsi="仿宋" w:eastAsia="仿宋" w:cs="Times New Roman"/>
          <w:sz w:val="32"/>
          <w:szCs w:val="32"/>
        </w:rPr>
        <w:t>预算中。</w:t>
      </w:r>
      <w:r>
        <w:rPr>
          <w:rFonts w:hint="eastAsia" w:ascii="仿宋" w:hAnsi="仿宋" w:eastAsia="仿宋" w:cs="Times New Roman"/>
          <w:sz w:val="32"/>
          <w:szCs w:val="32"/>
        </w:rPr>
        <w:t>河北女子职业技术学院及</w:t>
      </w:r>
      <w:r>
        <w:rPr>
          <w:rFonts w:ascii="仿宋" w:hAnsi="仿宋" w:eastAsia="仿宋" w:cs="Times New Roman"/>
          <w:sz w:val="32"/>
          <w:szCs w:val="32"/>
        </w:rPr>
        <w:t>所属事业单位的收支包含在部门预算中。</w:t>
      </w:r>
    </w:p>
    <w:p>
      <w:pPr>
        <w:ind w:firstLine="640"/>
        <w:rPr>
          <w:rFonts w:ascii="仿宋" w:hAnsi="仿宋" w:eastAsia="仿宋" w:cs="Times New Roman"/>
          <w:sz w:val="32"/>
          <w:szCs w:val="32"/>
        </w:rPr>
      </w:pPr>
      <w:r>
        <w:rPr>
          <w:rFonts w:ascii="仿宋" w:hAnsi="仿宋" w:eastAsia="仿宋" w:cs="Times New Roman"/>
          <w:sz w:val="32"/>
          <w:szCs w:val="32"/>
        </w:rPr>
        <w:t>1、收入说明</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 xml:space="preserve">2019年，预算总收入9415.92万元。其中:一般公共财政预算收入5796.3万元，财政专户核拨（学宿费收入等）收入3609.62万元，其他来源收入10万元。 </w:t>
      </w:r>
    </w:p>
    <w:p>
      <w:pPr>
        <w:ind w:firstLine="640"/>
        <w:rPr>
          <w:rFonts w:ascii="仿宋" w:hAnsi="仿宋" w:eastAsia="仿宋" w:cs="Times New Roman"/>
          <w:sz w:val="32"/>
          <w:szCs w:val="32"/>
        </w:rPr>
      </w:pPr>
      <w:r>
        <w:rPr>
          <w:rFonts w:ascii="仿宋" w:hAnsi="仿宋" w:eastAsia="仿宋" w:cs="Times New Roman"/>
          <w:sz w:val="32"/>
          <w:szCs w:val="32"/>
        </w:rPr>
        <w:t>2、支出说明</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2019年，预算支出为9415.92万元。其中：基本支出预算安排3769.92万元，包括人员经费3310.23万元、日常公用经费459.69万元。项目支出预算安排5646万元，其中一般公共预算拨款安排5146万元，财政专户拨款安排500万元，主要是</w:t>
      </w:r>
      <w:r>
        <w:rPr>
          <w:rFonts w:hint="eastAsia" w:ascii="仿宋" w:hAnsi="仿宋" w:eastAsia="仿宋"/>
          <w:sz w:val="28"/>
          <w:szCs w:val="28"/>
        </w:rPr>
        <w:t>教学专业设备采购项目、实训楼等内涵提升项目、校园环境提升及管网改造项目</w:t>
      </w:r>
      <w:r>
        <w:rPr>
          <w:rFonts w:hint="eastAsia" w:ascii="仿宋" w:hAnsi="仿宋" w:eastAsia="仿宋" w:cs="Times New Roman"/>
          <w:sz w:val="32"/>
          <w:szCs w:val="32"/>
        </w:rPr>
        <w:t>等。</w:t>
      </w:r>
    </w:p>
    <w:p>
      <w:pPr>
        <w:ind w:firstLine="640"/>
        <w:rPr>
          <w:rFonts w:ascii="仿宋" w:hAnsi="仿宋" w:eastAsia="仿宋" w:cs="Times New Roman"/>
          <w:sz w:val="32"/>
          <w:szCs w:val="32"/>
        </w:rPr>
      </w:pPr>
      <w:r>
        <w:rPr>
          <w:rFonts w:ascii="仿宋" w:hAnsi="仿宋" w:eastAsia="仿宋" w:cs="Times New Roman"/>
          <w:sz w:val="32"/>
          <w:szCs w:val="32"/>
        </w:rPr>
        <w:t>3、比上年增减情况</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2019年部门预算收支安排9415.92万元，较2018年预算收支增加1177.26万元，其中基本支出增加395.42万元，主要原因是学院随着招生人数的增加，招聘老师费用增加；项目支出增加781.84万元，主要原因是随着招生规模的扩大，按照教学管理的需要以及信息化的要求，增加了教学设备采购支出，增加了校园环境提升及管网改造支出，增加了实训楼改造及设备购置支出，增加了食堂维修改造支出等项目，使项目支出相应增加。</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三、机关运行经费安排情况</w:t>
      </w:r>
    </w:p>
    <w:p>
      <w:pPr>
        <w:spacing w:line="54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2019年学院安排的正常公用经费为459.69万元，</w:t>
      </w:r>
      <w:r>
        <w:rPr>
          <w:rFonts w:ascii="仿宋" w:hAnsi="仿宋" w:eastAsia="仿宋" w:cs="Times New Roman"/>
          <w:sz w:val="32"/>
          <w:szCs w:val="32"/>
        </w:rPr>
        <w:t>主要用于</w:t>
      </w:r>
      <w:r>
        <w:rPr>
          <w:rFonts w:hint="eastAsia" w:ascii="仿宋" w:hAnsi="仿宋" w:eastAsia="仿宋" w:cs="Times New Roman"/>
          <w:sz w:val="32"/>
          <w:szCs w:val="32"/>
        </w:rPr>
        <w:t>以下各项</w:t>
      </w:r>
      <w:r>
        <w:rPr>
          <w:rFonts w:hint="eastAsia" w:ascii="仿宋" w:hAnsi="仿宋" w:eastAsia="仿宋"/>
          <w:sz w:val="32"/>
          <w:szCs w:val="32"/>
        </w:rPr>
        <w:t>：办公及印刷费、邮电费、差旅费、会议费、福利费、日常维修费、专用材料及一般设备购置费、办公用房水电费、办公用房取暖费</w:t>
      </w:r>
      <w:r>
        <w:rPr>
          <w:rFonts w:hint="eastAsia" w:ascii="仿宋" w:hAnsi="仿宋" w:eastAsia="仿宋" w:cs="Times New Roman"/>
          <w:sz w:val="32"/>
          <w:szCs w:val="32"/>
        </w:rPr>
        <w:t>等</w:t>
      </w:r>
      <w:r>
        <w:rPr>
          <w:rFonts w:ascii="仿宋" w:hAnsi="仿宋" w:eastAsia="仿宋" w:cs="Times New Roman"/>
          <w:sz w:val="32"/>
          <w:szCs w:val="32"/>
        </w:rPr>
        <w:t>日常运行支出</w:t>
      </w:r>
      <w:r>
        <w:rPr>
          <w:rFonts w:hint="eastAsia" w:ascii="仿宋" w:hAnsi="仿宋" w:eastAsia="仿宋" w:cs="Times New Roman"/>
          <w:sz w:val="32"/>
          <w:szCs w:val="32"/>
        </w:rPr>
        <w:t>。</w:t>
      </w:r>
    </w:p>
    <w:p>
      <w:pPr>
        <w:autoSpaceDE w:val="0"/>
        <w:autoSpaceDN w:val="0"/>
        <w:adjustRightInd w:val="0"/>
        <w:ind w:left="198" w:firstLine="640" w:firstLineChars="200"/>
        <w:jc w:val="left"/>
        <w:rPr>
          <w:rFonts w:ascii="仿宋" w:hAnsi="仿宋" w:eastAsia="仿宋" w:cs="Times New Roman"/>
          <w:sz w:val="32"/>
          <w:szCs w:val="32"/>
        </w:rPr>
      </w:pPr>
      <w:r>
        <w:rPr>
          <w:rFonts w:hint="eastAsia" w:ascii="仿宋" w:hAnsi="仿宋" w:eastAsia="仿宋" w:cs="Times New Roman"/>
          <w:sz w:val="32"/>
          <w:szCs w:val="32"/>
        </w:rPr>
        <w:t>四、财政拨款</w:t>
      </w:r>
      <w:r>
        <w:rPr>
          <w:rFonts w:ascii="仿宋" w:hAnsi="仿宋" w:eastAsia="仿宋" w:cs="Times New Roman"/>
          <w:sz w:val="32"/>
          <w:szCs w:val="32"/>
        </w:rPr>
        <w:t>“</w:t>
      </w:r>
      <w:r>
        <w:rPr>
          <w:rFonts w:hint="eastAsia" w:ascii="仿宋" w:hAnsi="仿宋" w:eastAsia="仿宋" w:cs="Times New Roman"/>
          <w:sz w:val="32"/>
          <w:szCs w:val="32"/>
        </w:rPr>
        <w:t>三公</w:t>
      </w:r>
      <w:r>
        <w:rPr>
          <w:rFonts w:ascii="仿宋" w:hAnsi="仿宋" w:eastAsia="仿宋" w:cs="Times New Roman"/>
          <w:sz w:val="32"/>
          <w:szCs w:val="32"/>
        </w:rPr>
        <w:t>”</w:t>
      </w:r>
      <w:r>
        <w:rPr>
          <w:rFonts w:hint="eastAsia" w:ascii="仿宋" w:hAnsi="仿宋" w:eastAsia="仿宋" w:cs="Times New Roman"/>
          <w:sz w:val="32"/>
          <w:szCs w:val="32"/>
        </w:rPr>
        <w:t>经费预算情况及增减变化原因</w:t>
      </w:r>
    </w:p>
    <w:p>
      <w:pPr>
        <w:ind w:firstLine="640" w:firstLineChars="200"/>
        <w:rPr>
          <w:rFonts w:ascii="仿宋" w:hAnsi="仿宋" w:eastAsia="仿宋" w:cs="Times New Roman"/>
          <w:sz w:val="32"/>
          <w:szCs w:val="32"/>
        </w:rPr>
      </w:pPr>
      <w:r>
        <w:rPr>
          <w:rFonts w:hint="eastAsia" w:ascii="仿宋" w:hAnsi="仿宋" w:eastAsia="仿宋" w:cs="仿宋"/>
          <w:sz w:val="32"/>
          <w:szCs w:val="32"/>
        </w:rPr>
        <w:t>2019年，我学院财政拨款“三公”经费预算安排54.65万元，</w:t>
      </w:r>
      <w:r>
        <w:rPr>
          <w:rFonts w:hint="eastAsia" w:ascii="仿宋" w:hAnsi="仿宋" w:eastAsia="仿宋" w:cs="仿宋"/>
          <w:bCs/>
          <w:color w:val="000000"/>
          <w:sz w:val="32"/>
          <w:szCs w:val="32"/>
        </w:rPr>
        <w:t>全部由财政专户核拨资金安排</w:t>
      </w:r>
      <w:r>
        <w:rPr>
          <w:rFonts w:hint="eastAsia" w:ascii="仿宋" w:hAnsi="仿宋" w:eastAsia="仿宋" w:cs="仿宋"/>
          <w:sz w:val="32"/>
          <w:szCs w:val="32"/>
        </w:rPr>
        <w:t>，其中：因公出国（境）费13.65万元；公务接待费15万元</w:t>
      </w:r>
      <w:bookmarkStart w:id="0" w:name="OLE_LINK3"/>
      <w:bookmarkStart w:id="1" w:name="OLE_LINK2"/>
      <w:r>
        <w:rPr>
          <w:rFonts w:hint="eastAsia" w:ascii="仿宋" w:hAnsi="仿宋" w:eastAsia="仿宋" w:cs="仿宋"/>
          <w:sz w:val="32"/>
          <w:szCs w:val="32"/>
        </w:rPr>
        <w:t>；公务用车购置及运行维护费</w:t>
      </w:r>
      <w:bookmarkEnd w:id="0"/>
      <w:bookmarkEnd w:id="1"/>
      <w:r>
        <w:rPr>
          <w:rFonts w:hint="eastAsia" w:ascii="仿宋" w:hAnsi="仿宋" w:eastAsia="仿宋" w:cs="仿宋"/>
          <w:sz w:val="32"/>
          <w:szCs w:val="32"/>
        </w:rPr>
        <w:t>26万元（其中公务用车购置费0万元，公务用车运行维护费26万元）。</w:t>
      </w:r>
      <w:r>
        <w:rPr>
          <w:rFonts w:hint="eastAsia" w:ascii="仿宋" w:hAnsi="仿宋" w:eastAsia="仿宋" w:cs="仿宋"/>
          <w:color w:val="000000"/>
          <w:sz w:val="32"/>
          <w:szCs w:val="32"/>
        </w:rPr>
        <w:t>财政专户核拨资金安排的“三公”经费</w:t>
      </w:r>
      <w:r>
        <w:rPr>
          <w:rFonts w:hint="eastAsia" w:ascii="仿宋" w:hAnsi="仿宋" w:eastAsia="仿宋" w:cs="仿宋"/>
          <w:sz w:val="32"/>
          <w:szCs w:val="32"/>
        </w:rPr>
        <w:t>与2018年相比减少了6.5万元，主要原因是：公务用车购置及运行维护费由32.50万</w:t>
      </w:r>
      <w:bookmarkStart w:id="5" w:name="_GoBack"/>
      <w:bookmarkEnd w:id="5"/>
      <w:r>
        <w:rPr>
          <w:rFonts w:hint="eastAsia" w:ascii="仿宋" w:hAnsi="仿宋" w:eastAsia="仿宋" w:cs="仿宋"/>
          <w:sz w:val="32"/>
          <w:szCs w:val="32"/>
        </w:rPr>
        <w:t>元调减至26万元，学院加强了公务用车的管理，压缩了开支；2019年预算中出国（境）费与2018年相比未发生变化；2019年公务接待费与2018年相比未发生变化。</w:t>
      </w:r>
      <w:r>
        <w:rPr>
          <w:rFonts w:hint="eastAsia" w:ascii="仿宋" w:hAnsi="仿宋" w:eastAsia="仿宋" w:cs="仿宋"/>
          <w:color w:val="000000"/>
          <w:sz w:val="32"/>
          <w:szCs w:val="32"/>
        </w:rPr>
        <w:t>2019年，我单位</w:t>
      </w:r>
      <w:r>
        <w:rPr>
          <w:rFonts w:hint="eastAsia" w:ascii="仿宋" w:hAnsi="仿宋" w:eastAsia="仿宋" w:cs="仿宋"/>
          <w:bCs/>
          <w:color w:val="000000"/>
          <w:sz w:val="32"/>
          <w:szCs w:val="32"/>
        </w:rPr>
        <w:t>一般公共预算安排</w:t>
      </w:r>
      <w:r>
        <w:rPr>
          <w:rFonts w:hint="eastAsia" w:ascii="仿宋" w:hAnsi="仿宋" w:eastAsia="仿宋" w:cs="仿宋"/>
          <w:color w:val="000000"/>
          <w:sz w:val="32"/>
          <w:szCs w:val="32"/>
        </w:rPr>
        <w:t>“三公”经费0万元</w:t>
      </w:r>
      <w:r>
        <w:rPr>
          <w:rFonts w:hint="eastAsia" w:ascii="仿宋" w:hAnsi="仿宋" w:eastAsia="仿宋" w:cs="仿宋"/>
          <w:b/>
          <w:bCs/>
          <w:color w:val="000000"/>
          <w:sz w:val="32"/>
          <w:szCs w:val="32"/>
        </w:rPr>
        <w:t>，</w:t>
      </w:r>
      <w:r>
        <w:rPr>
          <w:rFonts w:hint="eastAsia" w:ascii="仿宋" w:hAnsi="仿宋" w:eastAsia="仿宋" w:cs="仿宋"/>
          <w:bCs/>
          <w:color w:val="000000"/>
          <w:sz w:val="32"/>
          <w:szCs w:val="32"/>
        </w:rPr>
        <w:t>与2018年持平，无增减变化。</w:t>
      </w:r>
    </w:p>
    <w:p>
      <w:pPr>
        <w:ind w:firstLine="640"/>
        <w:rPr>
          <w:rFonts w:ascii="仿宋" w:hAnsi="仿宋" w:eastAsia="仿宋" w:cs="Times New Roman"/>
          <w:sz w:val="32"/>
          <w:szCs w:val="32"/>
        </w:rPr>
      </w:pPr>
      <w:r>
        <w:rPr>
          <w:rFonts w:hint="eastAsia" w:ascii="仿宋" w:hAnsi="仿宋" w:eastAsia="仿宋" w:cs="Times New Roman"/>
          <w:sz w:val="32"/>
          <w:szCs w:val="32"/>
        </w:rPr>
        <w:t>五、绩效预算信息</w:t>
      </w:r>
    </w:p>
    <w:p>
      <w:pPr>
        <w:jc w:val="left"/>
        <w:rPr>
          <w:rFonts w:ascii="仿宋" w:hAnsi="仿宋" w:eastAsia="仿宋"/>
          <w:b/>
          <w:sz w:val="28"/>
        </w:rPr>
      </w:pPr>
      <w:r>
        <w:rPr>
          <w:rFonts w:hint="eastAsia" w:ascii="仿宋" w:hAnsi="仿宋" w:eastAsia="仿宋"/>
          <w:b/>
          <w:sz w:val="28"/>
        </w:rPr>
        <w:t>职责分类绩效目标：</w:t>
      </w:r>
    </w:p>
    <w:p>
      <w:pPr>
        <w:spacing w:line="500" w:lineRule="exact"/>
        <w:ind w:firstLine="560"/>
        <w:rPr>
          <w:rFonts w:ascii="仿宋" w:hAnsi="仿宋" w:eastAsia="仿宋"/>
          <w:sz w:val="28"/>
        </w:rPr>
      </w:pPr>
      <w:r>
        <w:rPr>
          <w:rFonts w:ascii="仿宋" w:hAnsi="仿宋" w:eastAsia="仿宋"/>
          <w:sz w:val="28"/>
        </w:rPr>
        <w:t>建立适合区域经济社会发展新形势的专业结构、彰显特色的课程体系、富有活力的教师队伍体系、指导性强的科研转化体系，致力于培养适应生产、建设、管理、服务第一线需要的、具有良好职业道德的高素质技术技能型专业人才。</w:t>
      </w:r>
    </w:p>
    <w:p>
      <w:pPr>
        <w:spacing w:line="500" w:lineRule="exact"/>
        <w:ind w:firstLine="560"/>
        <w:rPr>
          <w:rFonts w:ascii="仿宋" w:hAnsi="仿宋" w:eastAsia="仿宋"/>
          <w:sz w:val="28"/>
        </w:rPr>
      </w:pPr>
      <w:r>
        <w:rPr>
          <w:rFonts w:ascii="仿宋" w:hAnsi="仿宋" w:eastAsia="仿宋"/>
          <w:sz w:val="28"/>
        </w:rPr>
        <w:t xml:space="preserve">（一）开办学历教育 </w:t>
      </w:r>
    </w:p>
    <w:p>
      <w:pPr>
        <w:spacing w:line="500" w:lineRule="exact"/>
        <w:ind w:firstLine="560"/>
        <w:rPr>
          <w:rFonts w:ascii="仿宋" w:hAnsi="仿宋" w:eastAsia="仿宋"/>
          <w:sz w:val="28"/>
        </w:rPr>
      </w:pPr>
      <w:r>
        <w:rPr>
          <w:rFonts w:ascii="仿宋" w:hAnsi="仿宋" w:eastAsia="仿宋"/>
          <w:sz w:val="28"/>
        </w:rPr>
        <w:t>承办高等学历教育，培养适应生产、建设、管理、服务第一线需要的德、智、体、美等全面发展的高等技术应用型人才和管理人才。</w:t>
      </w:r>
    </w:p>
    <w:p>
      <w:pPr>
        <w:spacing w:line="500" w:lineRule="exact"/>
        <w:ind w:firstLine="560"/>
        <w:rPr>
          <w:rFonts w:ascii="仿宋" w:hAnsi="仿宋" w:eastAsia="仿宋"/>
          <w:sz w:val="28"/>
        </w:rPr>
      </w:pPr>
      <w:r>
        <w:rPr>
          <w:rFonts w:ascii="仿宋" w:hAnsi="仿宋" w:eastAsia="仿宋"/>
          <w:sz w:val="28"/>
        </w:rPr>
        <w:t>绩效目标及指标：学生就业率；学生满意度；用人单位满意度。</w:t>
      </w:r>
    </w:p>
    <w:p>
      <w:pPr>
        <w:spacing w:line="500" w:lineRule="exact"/>
        <w:ind w:firstLine="560"/>
        <w:rPr>
          <w:rFonts w:ascii="仿宋" w:hAnsi="仿宋" w:eastAsia="仿宋"/>
          <w:sz w:val="28"/>
        </w:rPr>
      </w:pPr>
      <w:r>
        <w:rPr>
          <w:rFonts w:ascii="仿宋" w:hAnsi="仿宋" w:eastAsia="仿宋"/>
          <w:sz w:val="28"/>
        </w:rPr>
        <w:t>（二）师资和学科建设</w:t>
      </w:r>
    </w:p>
    <w:p>
      <w:pPr>
        <w:spacing w:line="500" w:lineRule="exact"/>
        <w:ind w:firstLine="560"/>
        <w:rPr>
          <w:rFonts w:ascii="仿宋" w:hAnsi="仿宋" w:eastAsia="仿宋"/>
          <w:sz w:val="28"/>
        </w:rPr>
      </w:pPr>
      <w:r>
        <w:rPr>
          <w:rFonts w:ascii="仿宋" w:hAnsi="仿宋" w:eastAsia="仿宋"/>
          <w:sz w:val="28"/>
        </w:rPr>
        <w:t>制定专业及课程建设规划，不断优化专业结构，完善课程体系；探索校中企、企中校模式，推进校企深度合作；加强教师培训，以学术交流、国培项目、企业挂职锻炼等促进教师能力提升。</w:t>
      </w:r>
    </w:p>
    <w:p>
      <w:pPr>
        <w:spacing w:line="500" w:lineRule="exact"/>
        <w:ind w:firstLine="560"/>
        <w:rPr>
          <w:rFonts w:ascii="仿宋" w:hAnsi="仿宋" w:eastAsia="仿宋"/>
          <w:sz w:val="28"/>
        </w:rPr>
      </w:pPr>
      <w:r>
        <w:rPr>
          <w:rFonts w:ascii="仿宋" w:hAnsi="仿宋" w:eastAsia="仿宋"/>
          <w:sz w:val="28"/>
        </w:rPr>
        <w:t>绩效目标及指标：教师培训、学术交流计划完成率；参训教师满意率；专业建设完成率；教师培训进修比例；参训教师合格率。</w:t>
      </w:r>
    </w:p>
    <w:p>
      <w:pPr>
        <w:spacing w:line="500" w:lineRule="exact"/>
        <w:ind w:firstLine="560"/>
        <w:rPr>
          <w:rFonts w:ascii="仿宋" w:hAnsi="仿宋" w:eastAsia="仿宋"/>
          <w:sz w:val="28"/>
        </w:rPr>
      </w:pPr>
      <w:r>
        <w:rPr>
          <w:rFonts w:ascii="仿宋" w:hAnsi="仿宋" w:eastAsia="仿宋"/>
          <w:sz w:val="28"/>
        </w:rPr>
        <w:t xml:space="preserve">（三）校企合作  </w:t>
      </w:r>
    </w:p>
    <w:p>
      <w:pPr>
        <w:spacing w:line="500" w:lineRule="exact"/>
        <w:ind w:firstLine="560"/>
        <w:rPr>
          <w:rFonts w:ascii="仿宋" w:hAnsi="仿宋" w:eastAsia="仿宋"/>
          <w:sz w:val="28"/>
        </w:rPr>
      </w:pPr>
      <w:r>
        <w:rPr>
          <w:rFonts w:ascii="仿宋" w:hAnsi="仿宋" w:eastAsia="仿宋"/>
          <w:sz w:val="28"/>
        </w:rPr>
        <w:t>探索校中企、企中校模式，推进校企深度合作。</w:t>
      </w:r>
    </w:p>
    <w:p>
      <w:pPr>
        <w:spacing w:line="500" w:lineRule="exact"/>
        <w:ind w:firstLine="560"/>
        <w:rPr>
          <w:rFonts w:ascii="仿宋" w:hAnsi="仿宋" w:eastAsia="仿宋"/>
          <w:sz w:val="28"/>
        </w:rPr>
      </w:pPr>
      <w:r>
        <w:rPr>
          <w:rFonts w:ascii="仿宋" w:hAnsi="仿宋" w:eastAsia="仿宋"/>
          <w:sz w:val="28"/>
        </w:rPr>
        <w:t>绩效目标及指标：开展校中企融合模式项目数；创新创业项目及活动数；开展企中校融合模式项目数；参与企业实习的毕业生比率；实习生对企业的满意度；企业对实习生满意率。</w:t>
      </w:r>
    </w:p>
    <w:p>
      <w:pPr>
        <w:spacing w:line="500" w:lineRule="exact"/>
        <w:ind w:firstLine="560"/>
        <w:rPr>
          <w:rFonts w:ascii="仿宋" w:hAnsi="仿宋" w:eastAsia="仿宋"/>
          <w:sz w:val="28"/>
        </w:rPr>
      </w:pPr>
      <w:r>
        <w:rPr>
          <w:rFonts w:ascii="仿宋" w:hAnsi="仿宋" w:eastAsia="仿宋"/>
          <w:sz w:val="28"/>
        </w:rPr>
        <w:t xml:space="preserve">（四）实训能力建设  </w:t>
      </w:r>
    </w:p>
    <w:p>
      <w:pPr>
        <w:spacing w:line="500" w:lineRule="exact"/>
        <w:ind w:firstLine="560"/>
        <w:rPr>
          <w:rFonts w:ascii="仿宋" w:hAnsi="仿宋" w:eastAsia="仿宋"/>
          <w:sz w:val="28"/>
        </w:rPr>
      </w:pPr>
      <w:r>
        <w:rPr>
          <w:rFonts w:ascii="仿宋" w:hAnsi="仿宋" w:eastAsia="仿宋"/>
          <w:sz w:val="28"/>
        </w:rPr>
        <w:t>依托长线特色专业实训室建设，进一步完善配套措施及设备，提高学做结合、理实一体及岗位适应能力。</w:t>
      </w:r>
    </w:p>
    <w:p>
      <w:pPr>
        <w:spacing w:line="500" w:lineRule="exact"/>
        <w:ind w:firstLine="560"/>
        <w:rPr>
          <w:rFonts w:ascii="仿宋" w:hAnsi="仿宋" w:eastAsia="仿宋"/>
          <w:sz w:val="28"/>
        </w:rPr>
      </w:pPr>
      <w:r>
        <w:rPr>
          <w:rFonts w:ascii="仿宋" w:hAnsi="仿宋" w:eastAsia="仿宋"/>
          <w:sz w:val="28"/>
        </w:rPr>
        <w:t>绩效目标及指标：实训设施应用率；参加技能大赛学生占比数；省技能大赛获奖数；师生对实训室建设满意度。</w:t>
      </w:r>
    </w:p>
    <w:p>
      <w:pPr>
        <w:spacing w:line="500" w:lineRule="exact"/>
        <w:ind w:firstLine="560"/>
        <w:rPr>
          <w:rFonts w:ascii="仿宋" w:hAnsi="仿宋" w:eastAsia="仿宋"/>
          <w:sz w:val="28"/>
        </w:rPr>
      </w:pPr>
      <w:r>
        <w:rPr>
          <w:rFonts w:ascii="仿宋" w:hAnsi="仿宋" w:eastAsia="仿宋"/>
          <w:sz w:val="28"/>
        </w:rPr>
        <w:t xml:space="preserve">（五）教学科研 </w:t>
      </w:r>
    </w:p>
    <w:p>
      <w:pPr>
        <w:spacing w:line="500" w:lineRule="exact"/>
        <w:ind w:firstLine="560"/>
        <w:rPr>
          <w:rFonts w:ascii="仿宋" w:hAnsi="仿宋" w:eastAsia="仿宋"/>
          <w:sz w:val="28"/>
        </w:rPr>
      </w:pPr>
      <w:r>
        <w:rPr>
          <w:rFonts w:ascii="仿宋" w:hAnsi="仿宋" w:eastAsia="仿宋"/>
          <w:sz w:val="28"/>
        </w:rPr>
        <w:t>围绕高职教学现状开展调查研究和国内外学术交流，推进理论探索和实践创新。</w:t>
      </w:r>
    </w:p>
    <w:p>
      <w:pPr>
        <w:spacing w:line="500" w:lineRule="exact"/>
        <w:ind w:firstLine="560"/>
        <w:rPr>
          <w:rFonts w:ascii="仿宋" w:hAnsi="仿宋" w:eastAsia="仿宋"/>
          <w:sz w:val="28"/>
        </w:rPr>
      </w:pPr>
      <w:r>
        <w:rPr>
          <w:rFonts w:ascii="仿宋" w:hAnsi="仿宋" w:eastAsia="仿宋"/>
          <w:sz w:val="28"/>
        </w:rPr>
        <w:t>绩效目标及指标：省部级以上科研项目立项数量；科研课题完成率；教师在省级以上学术期刊发表论文、著作、教材数。</w:t>
      </w:r>
    </w:p>
    <w:p>
      <w:pPr>
        <w:spacing w:line="500" w:lineRule="exact"/>
        <w:ind w:firstLine="560"/>
        <w:rPr>
          <w:rFonts w:ascii="仿宋" w:hAnsi="仿宋" w:eastAsia="仿宋"/>
          <w:sz w:val="28"/>
        </w:rPr>
      </w:pPr>
      <w:r>
        <w:rPr>
          <w:rFonts w:ascii="仿宋" w:hAnsi="仿宋" w:eastAsia="仿宋"/>
          <w:sz w:val="28"/>
        </w:rPr>
        <w:t xml:space="preserve">（六）教学事务管理 </w:t>
      </w:r>
    </w:p>
    <w:p>
      <w:pPr>
        <w:spacing w:line="500" w:lineRule="exact"/>
        <w:ind w:firstLine="560"/>
        <w:rPr>
          <w:rFonts w:ascii="仿宋" w:hAnsi="仿宋" w:eastAsia="仿宋"/>
          <w:sz w:val="28"/>
        </w:rPr>
      </w:pPr>
      <w:r>
        <w:rPr>
          <w:rFonts w:ascii="仿宋" w:hAnsi="仿宋" w:eastAsia="仿宋"/>
          <w:sz w:val="28"/>
        </w:rPr>
        <w:t>根据社会发展需求，组织实施与教学活动和学员培训相关的综合管理和后勤保障事务。</w:t>
      </w:r>
    </w:p>
    <w:p>
      <w:pPr>
        <w:spacing w:line="500" w:lineRule="exact"/>
        <w:ind w:firstLine="560"/>
        <w:rPr>
          <w:rFonts w:ascii="仿宋" w:hAnsi="仿宋" w:eastAsia="仿宋"/>
          <w:sz w:val="28"/>
        </w:rPr>
      </w:pPr>
      <w:r>
        <w:rPr>
          <w:rFonts w:ascii="仿宋" w:hAnsi="仿宋" w:eastAsia="仿宋"/>
          <w:sz w:val="28"/>
        </w:rPr>
        <w:t>绩效目标及指标：后勤服务满意度；面向普通高中生招生数；师生满意度。</w:t>
      </w:r>
    </w:p>
    <w:p>
      <w:pPr>
        <w:jc w:val="left"/>
        <w:rPr>
          <w:rFonts w:ascii="仿宋" w:hAnsi="仿宋" w:eastAsia="仿宋"/>
          <w:sz w:val="28"/>
        </w:rPr>
      </w:pPr>
      <w:r>
        <w:rPr>
          <w:rFonts w:hint="eastAsia" w:ascii="仿宋" w:hAnsi="仿宋" w:eastAsia="仿宋"/>
          <w:sz w:val="28"/>
        </w:rPr>
        <w:t xml:space="preserve">    二、实现年度发展规划目标的保障措施</w:t>
      </w:r>
    </w:p>
    <w:p>
      <w:pPr>
        <w:spacing w:line="500" w:lineRule="exact"/>
        <w:ind w:firstLine="560"/>
        <w:rPr>
          <w:rFonts w:ascii="仿宋" w:hAnsi="仿宋" w:eastAsia="仿宋"/>
          <w:sz w:val="28"/>
        </w:rPr>
      </w:pPr>
      <w:r>
        <w:rPr>
          <w:rFonts w:hint="eastAsia" w:ascii="仿宋" w:hAnsi="仿宋" w:eastAsia="仿宋"/>
          <w:sz w:val="28"/>
        </w:rPr>
        <w:t>以</w:t>
      </w:r>
      <w:r>
        <w:rPr>
          <w:rFonts w:ascii="仿宋" w:hAnsi="仿宋" w:eastAsia="仿宋"/>
          <w:sz w:val="28"/>
        </w:rPr>
        <w:t xml:space="preserve">习近平新时代中国特色社会主义思想和党的十九大精神为指导，推进内涵建设，深化教育体制改革，提升内部管理水平，提高人才培养质量，全面推进学院各项事业向更高层次发展。 </w:t>
      </w:r>
    </w:p>
    <w:p>
      <w:pPr>
        <w:spacing w:line="500" w:lineRule="exact"/>
        <w:ind w:firstLine="560"/>
        <w:rPr>
          <w:rFonts w:ascii="仿宋" w:hAnsi="仿宋" w:eastAsia="仿宋"/>
          <w:sz w:val="28"/>
        </w:rPr>
      </w:pPr>
      <w:r>
        <w:rPr>
          <w:rFonts w:ascii="仿宋" w:hAnsi="仿宋" w:eastAsia="仿宋"/>
          <w:sz w:val="28"/>
        </w:rPr>
        <w:t>（一）围绕年度中心工作，增强科学发展信心</w:t>
      </w:r>
    </w:p>
    <w:p>
      <w:pPr>
        <w:spacing w:line="500" w:lineRule="exact"/>
        <w:ind w:firstLine="560"/>
        <w:rPr>
          <w:rFonts w:ascii="仿宋" w:hAnsi="仿宋" w:eastAsia="仿宋"/>
          <w:sz w:val="28"/>
        </w:rPr>
      </w:pPr>
      <w:r>
        <w:rPr>
          <w:rFonts w:ascii="仿宋" w:hAnsi="仿宋" w:eastAsia="仿宋"/>
          <w:sz w:val="28"/>
        </w:rPr>
        <w:t>学院按照“稳规模 提质量 强师资 创品牌”的发展思路，大力推进优质校建设。今后，我院将认真为围绕学院全体教工凝成的发展共识，以争创优质校为目标，团结一致，埋头苦干，攻坚克难，精准发力，努力提高教学质量，实现学院持续健康发展。</w:t>
      </w:r>
    </w:p>
    <w:p>
      <w:pPr>
        <w:spacing w:line="500" w:lineRule="exact"/>
        <w:ind w:firstLine="560"/>
        <w:rPr>
          <w:rFonts w:ascii="仿宋" w:hAnsi="仿宋" w:eastAsia="仿宋"/>
          <w:sz w:val="28"/>
        </w:rPr>
      </w:pPr>
      <w:r>
        <w:rPr>
          <w:rFonts w:ascii="仿宋" w:hAnsi="仿宋" w:eastAsia="仿宋"/>
          <w:sz w:val="28"/>
        </w:rPr>
        <w:t xml:space="preserve">（二）强化统筹规划，加强组织领导 </w:t>
      </w:r>
    </w:p>
    <w:p>
      <w:pPr>
        <w:spacing w:line="500" w:lineRule="exact"/>
        <w:ind w:firstLine="560"/>
        <w:rPr>
          <w:rFonts w:ascii="仿宋" w:hAnsi="仿宋" w:eastAsia="仿宋"/>
          <w:sz w:val="28"/>
        </w:rPr>
      </w:pPr>
      <w:r>
        <w:rPr>
          <w:rFonts w:ascii="仿宋" w:hAnsi="仿宋" w:eastAsia="仿宋"/>
          <w:sz w:val="28"/>
        </w:rPr>
        <w:t>建立学院党政直接领导、各部门协调配合的工作机制，强化统筹规划、综合协调和宏观管理。各部门积极落实年度发展规划目标，明确责任，以协同育人机制创新为引领，及时研究出台相关配套政策，确保年度发展规划目标有效落实。</w:t>
      </w:r>
    </w:p>
    <w:p>
      <w:pPr>
        <w:spacing w:line="500" w:lineRule="exact"/>
        <w:ind w:firstLine="560"/>
        <w:rPr>
          <w:rFonts w:ascii="仿宋" w:hAnsi="仿宋" w:eastAsia="仿宋"/>
          <w:sz w:val="28"/>
        </w:rPr>
      </w:pPr>
      <w:r>
        <w:rPr>
          <w:rFonts w:ascii="仿宋" w:hAnsi="仿宋" w:eastAsia="仿宋"/>
          <w:sz w:val="28"/>
        </w:rPr>
        <w:t xml:space="preserve">（三）发挥监督作用   </w:t>
      </w:r>
    </w:p>
    <w:p>
      <w:pPr>
        <w:spacing w:line="500" w:lineRule="exact"/>
        <w:ind w:firstLine="560"/>
        <w:rPr>
          <w:rFonts w:ascii="仿宋" w:hAnsi="仿宋" w:eastAsia="仿宋"/>
          <w:sz w:val="28"/>
        </w:rPr>
      </w:pPr>
      <w:r>
        <w:rPr>
          <w:rFonts w:ascii="仿宋" w:hAnsi="仿宋" w:eastAsia="仿宋"/>
          <w:sz w:val="28"/>
        </w:rPr>
        <w:t>强化纪检监察的监督责任，严守审计纪律、改进调查研究、简化公务接待、精简会议活动、规范出访活动、厉行勤俭节约、提高办事效率，保障学院年度各项工作有序开展。</w:t>
      </w:r>
    </w:p>
    <w:p>
      <w:pPr>
        <w:jc w:val="left"/>
        <w:sectPr>
          <w:footerReference r:id="rId4" w:type="default"/>
          <w:pgSz w:w="11907" w:h="16839"/>
          <w:pgMar w:top="1531" w:right="1134" w:bottom="1474" w:left="1134" w:header="851" w:footer="992" w:gutter="0"/>
          <w:pgNumType w:start="1"/>
          <w:cols w:space="425" w:num="1"/>
          <w:docGrid w:type="lines" w:linePitch="312" w:charSpace="0"/>
        </w:sectPr>
      </w:pPr>
    </w:p>
    <w:p>
      <w:pPr>
        <w:jc w:val="center"/>
        <w:outlineLvl w:val="0"/>
        <w:rPr>
          <w:rFonts w:ascii="方正小标宋_GBK" w:eastAsia="方正小标宋_GBK"/>
          <w:color w:val="FFFFFF"/>
          <w:sz w:val="32"/>
        </w:rPr>
      </w:pPr>
      <w:bookmarkStart w:id="2" w:name="_Toc534895659"/>
      <w:r>
        <w:rPr>
          <w:rFonts w:hint="eastAsia" w:ascii="方正小标宋_GBK" w:eastAsia="方正小标宋_GBK"/>
          <w:sz w:val="32"/>
        </w:rPr>
        <w:t>部门职责-工作活动绩效目标</w:t>
      </w:r>
      <w:r>
        <w:rPr>
          <w:rStyle w:val="11"/>
          <w:rFonts w:ascii="方正小标宋_GBK" w:eastAsia="方正小标宋_GBK"/>
          <w:color w:val="FFFFFF"/>
          <w:sz w:val="32"/>
        </w:rPr>
        <w:footnoteReference w:id="0" w:customMarkFollows="1"/>
        <w:sym w:font="Symbol" w:char="F020"/>
      </w:r>
      <w:bookmarkEnd w:id="2"/>
    </w:p>
    <w:tbl>
      <w:tblPr>
        <w:tblStyle w:val="8"/>
        <w:tblW w:w="139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489河北女子职业技术学院</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一、学历教育</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5646.00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培养适应生产、建设、管理、服务第一线需要的、具有良好职业道德的女性技术技能型人才，依托内涵建设，打造校园优美、管理规范、质量优良、充满活力的全国知名女子高等学府。</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建立适合区域经济社会发展新形势的专业结构、彰显特色的课程体系、富有活力的教师队伍体系、指导性强的科研转化体系</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1、开办学历教育</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3393.40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承办高等学历教育，培养适应生产、建设、管理、服务第一线需要的德、智、体、美等全面发展的高等技术应用型人才和管理人才。</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做好学生管理工作，高质量完成教学任务。</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学生满意度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学生就业率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学生毕业率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学生职业证书取得率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2、师资和学科建设</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429.94</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制定专业及课程建设规划，不断优化专业结构，完善课程体系；探索校中厂、厂中校模式，推进校企深度合作；加强教师培训，以学术交流、国培项目、企业挂职锻炼等促进教师能力提升。</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提高教师队伍素质。优化专业结构，完善课程体系。</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教师培训、学术交流计划完成率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教师培训进修比例</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≥30%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≥20%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专业建设完成率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教师队伍高级职称比率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≥17%</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≥16.5%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≥16%</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3、校企合作</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探索校中企、企中校模式，推进校企深度合作。</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探索“校-企”融合模式，提升学生岗位关键能力及创新创业能力。</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开展企中校融合模式项目数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创新创业项目及活动数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开展校中企融合模式项目数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参与应参加企业实习的毕业生比率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实习生对企业的满意度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企业对实习生满意率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4、实训能力建设</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330.76</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依托长线特色专业实训室建设，进一步完善配套措施及设备，提高学做结合、理实一体及岗位适应能力。</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根据区域经济社会发展及专业需要充实、改善和更新实训条件。</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参加技能大赛学生占比数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≥0.65%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≥0.6%</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≥0.55%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&lt;0.55%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省技能大赛获奖数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实训设施应用率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师生对实训室建设满意度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5、教育科研</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107.00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围绕高职教育现状开展调查研究和国内外学术交流，推进理论探索和实践创新。</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提升科研能力，服务我省女性教育及高职教育发展。</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发表论文、著作、教材数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≥18</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≥14</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科研课题完成率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厅级以上科研项目立项数量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≥4</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　　6、教学事务管理</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1384.90</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根据社会发展需求，组织实施与教学活动和学员培训相关的综合管理和后勤保障事务。</w:t>
            </w:r>
          </w:p>
        </w:tc>
        <w:tc>
          <w:tcPr>
            <w:tcW w:w="2976" w:type="dxa"/>
            <w:vMerge w:val="restart"/>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提高学院教学管理、培训能力和保障水平。</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师生满意度</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≥95%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≥85%</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面向普通高中生招生数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≥400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≥200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ascii="方正书宋_GBK" w:eastAsia="方正书宋_GBK"/>
              </w:rPr>
            </w:pP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面向单独招生数</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≥700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≥600</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≥500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&lt;500</w:t>
            </w:r>
          </w:p>
        </w:tc>
      </w:tr>
    </w:tbl>
    <w:p>
      <w:pPr>
        <w:spacing w:line="300" w:lineRule="exact"/>
        <w:jc w:val="left"/>
        <w:outlineLvl w:val="0"/>
        <w:sectPr>
          <w:pgSz w:w="16839" w:h="11907" w:orient="landscape"/>
          <w:pgMar w:top="1020" w:right="1361" w:bottom="1020" w:left="1361" w:header="851" w:footer="992" w:gutter="0"/>
          <w:cols w:space="425" w:num="1"/>
          <w:docGrid w:type="lines" w:linePitch="312" w:charSpace="0"/>
        </w:sectPr>
      </w:pPr>
    </w:p>
    <w:p>
      <w:pPr>
        <w:autoSpaceDE w:val="0"/>
        <w:autoSpaceDN w:val="0"/>
        <w:adjustRightInd w:val="0"/>
        <w:ind w:left="200"/>
        <w:jc w:val="left"/>
        <w:rPr>
          <w:rFonts w:ascii="宋体" w:cs="宋体"/>
          <w:kern w:val="0"/>
          <w:sz w:val="18"/>
          <w:szCs w:val="18"/>
          <w:lang w:val="zh-CN"/>
        </w:rPr>
      </w:pPr>
    </w:p>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ind w:firstLine="645"/>
        <w:outlineLvl w:val="0"/>
        <w:rPr>
          <w:rFonts w:ascii="华文仿宋" w:hAnsi="华文仿宋" w:eastAsia="华文仿宋" w:cs="Times New Roman"/>
          <w:sz w:val="32"/>
          <w:szCs w:val="24"/>
        </w:rPr>
      </w:pPr>
      <w:bookmarkStart w:id="3" w:name="_Toc471398468"/>
      <w:r>
        <w:rPr>
          <w:rFonts w:ascii="华文仿宋" w:hAnsi="华文仿宋" w:eastAsia="华文仿宋" w:cs="Times New Roman"/>
          <w:sz w:val="32"/>
          <w:szCs w:val="24"/>
        </w:rPr>
        <w:t>201</w:t>
      </w:r>
      <w:r>
        <w:rPr>
          <w:rFonts w:hint="eastAsia" w:ascii="华文仿宋" w:hAnsi="华文仿宋" w:eastAsia="华文仿宋" w:cs="Times New Roman"/>
          <w:sz w:val="32"/>
          <w:szCs w:val="24"/>
        </w:rPr>
        <w:t>8</w:t>
      </w:r>
      <w:r>
        <w:rPr>
          <w:rFonts w:ascii="华文仿宋" w:hAnsi="华文仿宋" w:eastAsia="华文仿宋" w:cs="Times New Roman"/>
          <w:sz w:val="32"/>
          <w:szCs w:val="24"/>
        </w:rPr>
        <w:t>年，</w:t>
      </w:r>
      <w:r>
        <w:rPr>
          <w:rFonts w:hint="eastAsia" w:ascii="华文仿宋" w:hAnsi="华文仿宋" w:eastAsia="华文仿宋" w:cs="Times New Roman"/>
          <w:sz w:val="32"/>
          <w:szCs w:val="24"/>
        </w:rPr>
        <w:t>我学院</w:t>
      </w:r>
      <w:r>
        <w:rPr>
          <w:rFonts w:ascii="华文仿宋" w:hAnsi="华文仿宋" w:eastAsia="华文仿宋" w:cs="Times New Roman"/>
          <w:sz w:val="32"/>
          <w:szCs w:val="24"/>
        </w:rPr>
        <w:t>安排政府采购预算</w:t>
      </w:r>
      <w:r>
        <w:rPr>
          <w:rFonts w:hint="eastAsia" w:ascii="华文仿宋" w:hAnsi="华文仿宋" w:eastAsia="华文仿宋" w:cs="Times New Roman"/>
          <w:sz w:val="32"/>
          <w:szCs w:val="24"/>
        </w:rPr>
        <w:t>2317.45</w:t>
      </w:r>
      <w:r>
        <w:rPr>
          <w:rFonts w:ascii="华文仿宋" w:hAnsi="华文仿宋" w:eastAsia="华文仿宋" w:cs="Times New Roman"/>
          <w:sz w:val="32"/>
          <w:szCs w:val="24"/>
        </w:rPr>
        <w:t>万元。具体内容见下表。</w:t>
      </w:r>
    </w:p>
    <w:p>
      <w:pPr>
        <w:jc w:val="center"/>
        <w:outlineLvl w:val="0"/>
        <w:rPr>
          <w:rFonts w:ascii="方正小标宋_GBK" w:eastAsia="方正小标宋_GBK"/>
          <w:sz w:val="32"/>
        </w:rPr>
      </w:pPr>
      <w:bookmarkStart w:id="4" w:name="_Toc534895665"/>
      <w:r>
        <w:rPr>
          <w:rFonts w:hint="eastAsia" w:ascii="方正小标宋_GBK" w:eastAsia="方正小标宋_GBK"/>
          <w:sz w:val="32"/>
        </w:rPr>
        <w:t>部门政府采购预算</w:t>
      </w:r>
      <w:bookmarkEnd w:id="4"/>
    </w:p>
    <w:tbl>
      <w:tblPr>
        <w:tblStyle w:val="8"/>
        <w:tblW w:w="48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407"/>
        <w:gridCol w:w="1058"/>
        <w:gridCol w:w="933"/>
        <w:gridCol w:w="1291"/>
        <w:gridCol w:w="720"/>
        <w:gridCol w:w="742"/>
        <w:gridCol w:w="859"/>
        <w:gridCol w:w="976"/>
        <w:gridCol w:w="976"/>
        <w:gridCol w:w="976"/>
        <w:gridCol w:w="899"/>
        <w:gridCol w:w="924"/>
        <w:gridCol w:w="925"/>
        <w:gridCol w:w="8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02"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hint="eastAsia" w:ascii="方正小标宋_GBK" w:eastAsia="方正小标宋_GBK"/>
                <w:sz w:val="24"/>
              </w:rPr>
              <w:t>489河北女子职业技术学院</w:t>
            </w:r>
          </w:p>
        </w:tc>
        <w:tc>
          <w:tcPr>
            <w:tcW w:w="2298" w:type="pct"/>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217" w:type="pct"/>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334"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338"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26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  单位</w:t>
            </w:r>
          </w:p>
        </w:tc>
        <w:tc>
          <w:tcPr>
            <w:tcW w:w="261"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290"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2298" w:type="pct"/>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377"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334" w:type="pct"/>
            <w:vMerge w:val="continue"/>
            <w:shd w:val="clear" w:color="auto" w:fill="auto"/>
            <w:vAlign w:val="center"/>
          </w:tcPr>
          <w:p>
            <w:pPr>
              <w:spacing w:line="300" w:lineRule="exact"/>
              <w:jc w:val="left"/>
              <w:outlineLvl w:val="0"/>
            </w:pPr>
          </w:p>
        </w:tc>
        <w:tc>
          <w:tcPr>
            <w:tcW w:w="338"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90" w:type="pct"/>
            <w:vMerge w:val="continue"/>
            <w:shd w:val="clear" w:color="auto" w:fill="auto"/>
            <w:vAlign w:val="center"/>
          </w:tcPr>
          <w:p>
            <w:pPr>
              <w:spacing w:line="300" w:lineRule="exact"/>
              <w:jc w:val="left"/>
              <w:outlineLvl w:val="0"/>
            </w:pPr>
          </w:p>
        </w:tc>
        <w:tc>
          <w:tcPr>
            <w:tcW w:w="330"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1651" w:type="pct"/>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317" w:type="pct"/>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40" w:type="pct"/>
            <w:vMerge w:val="continue"/>
            <w:shd w:val="clear" w:color="auto" w:fill="auto"/>
            <w:vAlign w:val="center"/>
          </w:tcPr>
          <w:p>
            <w:pPr>
              <w:spacing w:line="300" w:lineRule="exact"/>
              <w:jc w:val="left"/>
              <w:outlineLvl w:val="0"/>
            </w:pPr>
          </w:p>
        </w:tc>
        <w:tc>
          <w:tcPr>
            <w:tcW w:w="377" w:type="pct"/>
            <w:vMerge w:val="continue"/>
            <w:shd w:val="clear" w:color="auto" w:fill="auto"/>
            <w:vAlign w:val="center"/>
          </w:tcPr>
          <w:p>
            <w:pPr>
              <w:spacing w:line="300" w:lineRule="exact"/>
              <w:jc w:val="left"/>
              <w:outlineLvl w:val="0"/>
            </w:pPr>
          </w:p>
        </w:tc>
        <w:tc>
          <w:tcPr>
            <w:tcW w:w="334" w:type="pct"/>
            <w:vMerge w:val="continue"/>
            <w:shd w:val="clear" w:color="auto" w:fill="auto"/>
            <w:vAlign w:val="center"/>
          </w:tcPr>
          <w:p>
            <w:pPr>
              <w:spacing w:line="300" w:lineRule="exact"/>
              <w:jc w:val="left"/>
              <w:outlineLvl w:val="0"/>
            </w:pPr>
          </w:p>
        </w:tc>
        <w:tc>
          <w:tcPr>
            <w:tcW w:w="338"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61" w:type="pct"/>
            <w:vMerge w:val="continue"/>
            <w:shd w:val="clear" w:color="auto" w:fill="auto"/>
            <w:vAlign w:val="center"/>
          </w:tcPr>
          <w:p>
            <w:pPr>
              <w:spacing w:line="300" w:lineRule="exact"/>
              <w:jc w:val="left"/>
              <w:outlineLvl w:val="0"/>
            </w:pPr>
          </w:p>
        </w:tc>
        <w:tc>
          <w:tcPr>
            <w:tcW w:w="290" w:type="pct"/>
            <w:vMerge w:val="continue"/>
            <w:shd w:val="clear" w:color="auto" w:fill="auto"/>
            <w:vAlign w:val="center"/>
          </w:tcPr>
          <w:p>
            <w:pPr>
              <w:spacing w:line="300" w:lineRule="exact"/>
              <w:jc w:val="left"/>
              <w:outlineLvl w:val="0"/>
            </w:pPr>
          </w:p>
        </w:tc>
        <w:tc>
          <w:tcPr>
            <w:tcW w:w="330" w:type="pct"/>
            <w:vMerge w:val="continue"/>
            <w:shd w:val="clear" w:color="auto" w:fill="auto"/>
            <w:vAlign w:val="center"/>
          </w:tcPr>
          <w:p>
            <w:pPr>
              <w:spacing w:line="300" w:lineRule="exact"/>
              <w:jc w:val="left"/>
              <w:outlineLvl w:val="0"/>
            </w:pPr>
          </w:p>
        </w:tc>
        <w:tc>
          <w:tcPr>
            <w:tcW w:w="33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33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33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331"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331"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317" w:type="pct"/>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377" w:type="pct"/>
            <w:shd w:val="clear" w:color="auto" w:fill="auto"/>
            <w:vAlign w:val="center"/>
          </w:tcPr>
          <w:p>
            <w:pPr>
              <w:spacing w:line="300" w:lineRule="exact"/>
              <w:jc w:val="right"/>
              <w:rPr>
                <w:rFonts w:ascii="方正书宋_GBK" w:eastAsia="方正书宋_GBK"/>
                <w:b/>
              </w:rPr>
            </w:pPr>
          </w:p>
        </w:tc>
        <w:tc>
          <w:tcPr>
            <w:tcW w:w="334" w:type="pct"/>
            <w:shd w:val="clear" w:color="auto" w:fill="auto"/>
            <w:vAlign w:val="center"/>
          </w:tcPr>
          <w:p>
            <w:pPr>
              <w:spacing w:line="300" w:lineRule="exact"/>
              <w:jc w:val="left"/>
              <w:rPr>
                <w:rFonts w:ascii="方正书宋_GBK" w:eastAsia="方正书宋_GBK"/>
                <w:b/>
              </w:rPr>
            </w:pPr>
          </w:p>
        </w:tc>
        <w:tc>
          <w:tcPr>
            <w:tcW w:w="338"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right"/>
              <w:rPr>
                <w:rFonts w:ascii="方正书宋_GBK" w:eastAsia="方正书宋_GBK"/>
                <w:b/>
              </w:rPr>
            </w:pPr>
          </w:p>
        </w:tc>
        <w:tc>
          <w:tcPr>
            <w:tcW w:w="290" w:type="pct"/>
            <w:shd w:val="clear" w:color="auto" w:fill="auto"/>
            <w:vAlign w:val="center"/>
          </w:tcPr>
          <w:p>
            <w:pPr>
              <w:spacing w:line="300" w:lineRule="exact"/>
              <w:jc w:val="right"/>
              <w:rPr>
                <w:rFonts w:ascii="方正书宋_GBK" w:eastAsia="方正书宋_GBK"/>
                <w:b/>
              </w:rPr>
            </w:pPr>
          </w:p>
        </w:tc>
        <w:tc>
          <w:tcPr>
            <w:tcW w:w="330" w:type="pct"/>
            <w:shd w:val="clear" w:color="auto" w:fill="auto"/>
            <w:vAlign w:val="center"/>
          </w:tcPr>
          <w:p>
            <w:pPr>
              <w:spacing w:line="300" w:lineRule="exact"/>
              <w:jc w:val="right"/>
              <w:rPr>
                <w:rFonts w:ascii="方正书宋_GBK" w:eastAsia="方正书宋_GBK"/>
                <w:b/>
              </w:rPr>
            </w:pPr>
            <w:r>
              <w:rPr>
                <w:rFonts w:ascii="方正书宋_GBK" w:eastAsia="方正书宋_GBK"/>
                <w:b/>
              </w:rPr>
              <w:t>2317.45</w:t>
            </w:r>
          </w:p>
        </w:tc>
        <w:tc>
          <w:tcPr>
            <w:tcW w:w="330" w:type="pct"/>
            <w:shd w:val="clear" w:color="auto" w:fill="auto"/>
            <w:vAlign w:val="center"/>
          </w:tcPr>
          <w:p>
            <w:pPr>
              <w:spacing w:line="300" w:lineRule="exact"/>
              <w:jc w:val="right"/>
              <w:rPr>
                <w:rFonts w:ascii="方正书宋_GBK" w:eastAsia="方正书宋_GBK"/>
                <w:b/>
              </w:rPr>
            </w:pPr>
            <w:r>
              <w:rPr>
                <w:rFonts w:ascii="方正书宋_GBK" w:eastAsia="方正书宋_GBK"/>
                <w:b/>
              </w:rPr>
              <w:t>2317.45</w:t>
            </w:r>
          </w:p>
        </w:tc>
        <w:tc>
          <w:tcPr>
            <w:tcW w:w="330" w:type="pct"/>
            <w:shd w:val="clear" w:color="auto" w:fill="auto"/>
            <w:vAlign w:val="center"/>
          </w:tcPr>
          <w:p>
            <w:pPr>
              <w:spacing w:line="300" w:lineRule="exact"/>
              <w:jc w:val="right"/>
              <w:rPr>
                <w:rFonts w:ascii="方正书宋_GBK" w:eastAsia="方正书宋_GBK"/>
                <w:b/>
              </w:rPr>
            </w:pPr>
            <w:r>
              <w:rPr>
                <w:rFonts w:ascii="方正书宋_GBK" w:eastAsia="方正书宋_GBK"/>
                <w:b/>
              </w:rPr>
              <w:t>2297.45</w:t>
            </w:r>
          </w:p>
        </w:tc>
        <w:tc>
          <w:tcPr>
            <w:tcW w:w="330" w:type="pct"/>
            <w:shd w:val="clear" w:color="auto" w:fill="auto"/>
            <w:vAlign w:val="center"/>
          </w:tcPr>
          <w:p>
            <w:pPr>
              <w:spacing w:line="300" w:lineRule="exact"/>
              <w:jc w:val="right"/>
              <w:rPr>
                <w:rFonts w:ascii="方正书宋_GBK" w:eastAsia="方正书宋_GBK"/>
                <w:b/>
              </w:rPr>
            </w:pPr>
          </w:p>
        </w:tc>
        <w:tc>
          <w:tcPr>
            <w:tcW w:w="331" w:type="pct"/>
            <w:shd w:val="clear" w:color="auto" w:fill="auto"/>
            <w:vAlign w:val="center"/>
          </w:tcPr>
          <w:p>
            <w:pPr>
              <w:spacing w:line="300" w:lineRule="exact"/>
              <w:jc w:val="right"/>
              <w:rPr>
                <w:rFonts w:ascii="方正书宋_GBK" w:eastAsia="方正书宋_GBK"/>
                <w:b/>
              </w:rPr>
            </w:pPr>
            <w:r>
              <w:rPr>
                <w:rFonts w:ascii="方正书宋_GBK" w:eastAsia="方正书宋_GBK"/>
                <w:b/>
              </w:rPr>
              <w:t>15.00</w:t>
            </w:r>
          </w:p>
        </w:tc>
        <w:tc>
          <w:tcPr>
            <w:tcW w:w="331" w:type="pct"/>
            <w:shd w:val="clear" w:color="auto" w:fill="auto"/>
            <w:vAlign w:val="center"/>
          </w:tcPr>
          <w:p>
            <w:pPr>
              <w:spacing w:line="300" w:lineRule="exact"/>
              <w:jc w:val="right"/>
              <w:rPr>
                <w:rFonts w:ascii="方正书宋_GBK" w:eastAsia="方正书宋_GBK"/>
                <w:b/>
              </w:rPr>
            </w:pPr>
            <w:r>
              <w:rPr>
                <w:rFonts w:ascii="方正书宋_GBK" w:eastAsia="方正书宋_GBK"/>
                <w:b/>
              </w:rPr>
              <w:t>5.00</w:t>
            </w:r>
          </w:p>
        </w:tc>
        <w:tc>
          <w:tcPr>
            <w:tcW w:w="317"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河北女子职业技术学院小计</w:t>
            </w:r>
          </w:p>
        </w:tc>
        <w:tc>
          <w:tcPr>
            <w:tcW w:w="377" w:type="pct"/>
            <w:shd w:val="clear" w:color="auto" w:fill="auto"/>
            <w:vAlign w:val="center"/>
          </w:tcPr>
          <w:p>
            <w:pPr>
              <w:spacing w:line="300" w:lineRule="exact"/>
              <w:jc w:val="right"/>
              <w:rPr>
                <w:rFonts w:ascii="方正书宋_GBK" w:eastAsia="方正书宋_GBK"/>
                <w:b/>
              </w:rPr>
            </w:pPr>
          </w:p>
        </w:tc>
        <w:tc>
          <w:tcPr>
            <w:tcW w:w="334" w:type="pct"/>
            <w:shd w:val="clear" w:color="auto" w:fill="auto"/>
            <w:vAlign w:val="center"/>
          </w:tcPr>
          <w:p>
            <w:pPr>
              <w:spacing w:line="300" w:lineRule="exact"/>
              <w:jc w:val="left"/>
              <w:rPr>
                <w:rFonts w:ascii="方正书宋_GBK" w:eastAsia="方正书宋_GBK"/>
                <w:b/>
              </w:rPr>
            </w:pPr>
          </w:p>
        </w:tc>
        <w:tc>
          <w:tcPr>
            <w:tcW w:w="338"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left"/>
              <w:rPr>
                <w:rFonts w:ascii="方正书宋_GBK" w:eastAsia="方正书宋_GBK"/>
                <w:b/>
              </w:rPr>
            </w:pPr>
          </w:p>
        </w:tc>
        <w:tc>
          <w:tcPr>
            <w:tcW w:w="261" w:type="pct"/>
            <w:shd w:val="clear" w:color="auto" w:fill="auto"/>
            <w:vAlign w:val="center"/>
          </w:tcPr>
          <w:p>
            <w:pPr>
              <w:spacing w:line="300" w:lineRule="exact"/>
              <w:jc w:val="right"/>
              <w:rPr>
                <w:rFonts w:ascii="方正书宋_GBK" w:eastAsia="方正书宋_GBK"/>
                <w:b/>
              </w:rPr>
            </w:pPr>
          </w:p>
        </w:tc>
        <w:tc>
          <w:tcPr>
            <w:tcW w:w="290" w:type="pct"/>
            <w:shd w:val="clear" w:color="auto" w:fill="auto"/>
            <w:vAlign w:val="center"/>
          </w:tcPr>
          <w:p>
            <w:pPr>
              <w:spacing w:line="300" w:lineRule="exact"/>
              <w:jc w:val="right"/>
              <w:rPr>
                <w:rFonts w:ascii="方正书宋_GBK" w:eastAsia="方正书宋_GBK"/>
                <w:b/>
              </w:rPr>
            </w:pPr>
          </w:p>
        </w:tc>
        <w:tc>
          <w:tcPr>
            <w:tcW w:w="330" w:type="pct"/>
            <w:shd w:val="clear" w:color="auto" w:fill="auto"/>
            <w:vAlign w:val="center"/>
          </w:tcPr>
          <w:p>
            <w:pPr>
              <w:spacing w:line="300" w:lineRule="exact"/>
              <w:jc w:val="right"/>
              <w:rPr>
                <w:rFonts w:ascii="方正书宋_GBK" w:eastAsia="方正书宋_GBK"/>
                <w:b/>
              </w:rPr>
            </w:pPr>
            <w:r>
              <w:rPr>
                <w:rFonts w:ascii="方正书宋_GBK" w:eastAsia="方正书宋_GBK"/>
                <w:b/>
              </w:rPr>
              <w:t>2317.45</w:t>
            </w:r>
          </w:p>
        </w:tc>
        <w:tc>
          <w:tcPr>
            <w:tcW w:w="330" w:type="pct"/>
            <w:shd w:val="clear" w:color="auto" w:fill="auto"/>
            <w:vAlign w:val="center"/>
          </w:tcPr>
          <w:p>
            <w:pPr>
              <w:spacing w:line="300" w:lineRule="exact"/>
              <w:jc w:val="right"/>
              <w:rPr>
                <w:rFonts w:ascii="方正书宋_GBK" w:eastAsia="方正书宋_GBK"/>
                <w:b/>
              </w:rPr>
            </w:pPr>
            <w:r>
              <w:rPr>
                <w:rFonts w:ascii="方正书宋_GBK" w:eastAsia="方正书宋_GBK"/>
                <w:b/>
              </w:rPr>
              <w:t>2317.45</w:t>
            </w:r>
          </w:p>
        </w:tc>
        <w:tc>
          <w:tcPr>
            <w:tcW w:w="330" w:type="pct"/>
            <w:shd w:val="clear" w:color="auto" w:fill="auto"/>
            <w:vAlign w:val="center"/>
          </w:tcPr>
          <w:p>
            <w:pPr>
              <w:spacing w:line="300" w:lineRule="exact"/>
              <w:jc w:val="right"/>
              <w:rPr>
                <w:rFonts w:ascii="方正书宋_GBK" w:eastAsia="方正书宋_GBK"/>
                <w:b/>
              </w:rPr>
            </w:pPr>
            <w:r>
              <w:rPr>
                <w:rFonts w:ascii="方正书宋_GBK" w:eastAsia="方正书宋_GBK"/>
                <w:b/>
              </w:rPr>
              <w:t>2297.45</w:t>
            </w:r>
          </w:p>
        </w:tc>
        <w:tc>
          <w:tcPr>
            <w:tcW w:w="330" w:type="pct"/>
            <w:shd w:val="clear" w:color="auto" w:fill="auto"/>
            <w:vAlign w:val="center"/>
          </w:tcPr>
          <w:p>
            <w:pPr>
              <w:spacing w:line="300" w:lineRule="exact"/>
              <w:jc w:val="right"/>
              <w:rPr>
                <w:rFonts w:ascii="方正书宋_GBK" w:eastAsia="方正书宋_GBK"/>
                <w:b/>
              </w:rPr>
            </w:pPr>
          </w:p>
        </w:tc>
        <w:tc>
          <w:tcPr>
            <w:tcW w:w="331" w:type="pct"/>
            <w:shd w:val="clear" w:color="auto" w:fill="auto"/>
            <w:vAlign w:val="center"/>
          </w:tcPr>
          <w:p>
            <w:pPr>
              <w:spacing w:line="300" w:lineRule="exact"/>
              <w:jc w:val="right"/>
              <w:rPr>
                <w:rFonts w:ascii="方正书宋_GBK" w:eastAsia="方正书宋_GBK"/>
                <w:b/>
              </w:rPr>
            </w:pPr>
            <w:r>
              <w:rPr>
                <w:rFonts w:ascii="方正书宋_GBK" w:eastAsia="方正书宋_GBK"/>
                <w:b/>
              </w:rPr>
              <w:t>15.00</w:t>
            </w:r>
          </w:p>
        </w:tc>
        <w:tc>
          <w:tcPr>
            <w:tcW w:w="331" w:type="pct"/>
            <w:shd w:val="clear" w:color="auto" w:fill="auto"/>
            <w:vAlign w:val="center"/>
          </w:tcPr>
          <w:p>
            <w:pPr>
              <w:spacing w:line="300" w:lineRule="exact"/>
              <w:jc w:val="right"/>
              <w:rPr>
                <w:rFonts w:ascii="方正书宋_GBK" w:eastAsia="方正书宋_GBK"/>
                <w:b/>
              </w:rPr>
            </w:pPr>
            <w:r>
              <w:rPr>
                <w:rFonts w:ascii="方正书宋_GBK" w:eastAsia="方正书宋_GBK"/>
                <w:b/>
              </w:rPr>
              <w:t>5.00</w:t>
            </w:r>
          </w:p>
        </w:tc>
        <w:tc>
          <w:tcPr>
            <w:tcW w:w="317" w:type="pct"/>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2019年现代职业教育发展专项（省级）公用经费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1664.40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A020101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0.48</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9.60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9.60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9.60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2019年现代职业教育发展专项（省级）公用经费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1664.40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0.20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2019年现代职业教育发展专项（省级）公用经费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1664.40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A020101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0.60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2019年现代职业教育发展专项（省级）公用经费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1664.40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组</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0.07</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1.40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2019年现代职业教育发展专项（省级）公用经费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1664.40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打印设备</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A02010601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台</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4.00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0.50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2019年大学生日常教育管理与运转项目经费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500.00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0" w:type="pct"/>
            <w:shd w:val="clear" w:color="auto" w:fill="auto"/>
            <w:vAlign w:val="center"/>
          </w:tcPr>
          <w:p>
            <w:pPr>
              <w:spacing w:line="300" w:lineRule="exact"/>
              <w:jc w:val="right"/>
              <w:rPr>
                <w:rFonts w:ascii="方正书宋_GBK" w:eastAsia="方正书宋_GBK"/>
              </w:rPr>
            </w:pP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2019年办学经费-物业服务费项目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C1204</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80.00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2019年中职教育免学费（中央）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295.00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印刷和出版</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C0814</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2019年中职教育免学费（中央）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295.00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2019年现代职业教育发展专项（省级）教学专业设备采购项目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382.84</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照相机及器材</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A020205</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63.68</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63.68</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63.68</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63.68</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2019年现代职业教育发展专项（省级）教学专业设备采购项目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382.84</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A020101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191.66</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191.66</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191.66</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191.66</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2019年现代职业教育发展专项（省级）教学专业设备采购项目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382.84</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乐器</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A033501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27.00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27.00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27.00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27.00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2019年现代职业教育发展专项（省级）教学专业设备采购项目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382.84</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家具用具</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A06</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6.90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6.90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6.90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6.90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2019年现代职业教育发展专项（省级）教学专业设备采购项目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382.84</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计算机设备及软件</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36.65</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36.65</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36.65</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36.65</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2019年现代职业教育发展专项（省级）教学专业设备采购项目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382.84</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摄像服务</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C0812</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4.00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2019年现代职业教育发展专项（省级）教学改革项目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107.00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计算机设备及软件</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2019年现代职业教育发展专项（省级）教学改革项目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107.00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计算机设备及软件</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40.00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2019年现代职业教育发展专项（省级）教学改革项目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107.00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摄像服务</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C0812</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6.00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60.00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2019年现代职业教育发展专项（省级）校园网络及知网服务项目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47.10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电信和其他信息传输服务</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C03</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条</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2.00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15.30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30.60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2019年现代职业教育发展专项（省级）校园网络及知网服务项目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47.10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C1204</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16.50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16.50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16.50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16.50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2019年现代职业教育发展专项（省级）实训楼等内涵提升项目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330.76</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修缮工程</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B08</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140.76</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140.76</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140.76</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140.76</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2019年现代职业教育发展专项（省级）实训楼等内涵提升项目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330.76</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图书</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A0501</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90.00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2019年现代职业教育发展专项（省级）实训楼等内涵提升项目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330.76</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图书档案设备</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A0204</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套</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2019年现代职业教育发展专项（省级）物业服务及保安服务项目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136.60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物业管理服务</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C1204</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78.60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78.60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78.60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78.60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2019年现代职业教育发展专项（省级）物业服务及保安服务项目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136.60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安全服务</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C0810</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58.00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58.00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58.00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58.00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2019年现代职业教育发展专项（省级）校园环境提升及管网改造项目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605.28</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修缮工程</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B08</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190.00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190.00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190.00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190.00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2019年现代职业教育发展专项（省级）校园环境提升及管网改造项目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605.28</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修缮工程</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B08</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207.50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207.50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207.50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207.50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2019年现代职业教育发展专项（省级）校园环境提升及管网改造项目</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605.28</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供水管道工程和下水道铺设</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B0604</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165.00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165.00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165.00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165.00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2019年现代职业教育发展专项（省级）食堂维修改造项目二期</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213.02</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修缮工程</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B08</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163.60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163.60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163.60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163.60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2019年现代职业教育专项（中央）食堂维修改造项目一期</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398.00</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修缮工程</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B08</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398.00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398.00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398.00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398.00</w:t>
            </w: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459.69</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办公消耗用品及类似物品</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A09</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10.00</w:t>
            </w:r>
          </w:p>
        </w:tc>
        <w:tc>
          <w:tcPr>
            <w:tcW w:w="330" w:type="pct"/>
            <w:shd w:val="clear" w:color="auto" w:fill="auto"/>
            <w:vAlign w:val="center"/>
          </w:tcPr>
          <w:p>
            <w:pPr>
              <w:spacing w:line="300" w:lineRule="exact"/>
              <w:jc w:val="right"/>
              <w:rPr>
                <w:rFonts w:ascii="方正书宋_GBK" w:eastAsia="方正书宋_GBK"/>
              </w:rPr>
            </w:pP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1"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17" w:type="pct"/>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40"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日常公用经费</w:t>
            </w:r>
          </w:p>
        </w:tc>
        <w:tc>
          <w:tcPr>
            <w:tcW w:w="377" w:type="pct"/>
            <w:shd w:val="clear" w:color="auto" w:fill="auto"/>
            <w:vAlign w:val="center"/>
          </w:tcPr>
          <w:p>
            <w:pPr>
              <w:spacing w:line="300" w:lineRule="exact"/>
              <w:jc w:val="right"/>
              <w:rPr>
                <w:rFonts w:ascii="方正书宋_GBK" w:eastAsia="方正书宋_GBK"/>
              </w:rPr>
            </w:pPr>
            <w:r>
              <w:rPr>
                <w:rFonts w:ascii="方正书宋_GBK" w:eastAsia="方正书宋_GBK"/>
              </w:rPr>
              <w:t>459.69</w:t>
            </w:r>
          </w:p>
        </w:tc>
        <w:tc>
          <w:tcPr>
            <w:tcW w:w="334"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印刷和出版</w:t>
            </w:r>
          </w:p>
        </w:tc>
        <w:tc>
          <w:tcPr>
            <w:tcW w:w="338" w:type="pct"/>
            <w:shd w:val="clear" w:color="auto" w:fill="auto"/>
            <w:vAlign w:val="center"/>
          </w:tcPr>
          <w:p>
            <w:pPr>
              <w:spacing w:line="300" w:lineRule="exact"/>
              <w:jc w:val="left"/>
              <w:rPr>
                <w:rFonts w:ascii="方正书宋_GBK" w:eastAsia="方正书宋_GBK"/>
              </w:rPr>
            </w:pPr>
            <w:r>
              <w:rPr>
                <w:rFonts w:ascii="方正书宋_GBK" w:eastAsia="方正书宋_GBK"/>
              </w:rPr>
              <w:t>C0814</w:t>
            </w:r>
          </w:p>
        </w:tc>
        <w:tc>
          <w:tcPr>
            <w:tcW w:w="261" w:type="pct"/>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261" w:type="pct"/>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290"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0"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0" w:type="pct"/>
            <w:shd w:val="clear" w:color="auto" w:fill="auto"/>
            <w:vAlign w:val="center"/>
          </w:tcPr>
          <w:p>
            <w:pPr>
              <w:spacing w:line="300" w:lineRule="exact"/>
              <w:jc w:val="right"/>
              <w:rPr>
                <w:rFonts w:ascii="方正书宋_GBK" w:eastAsia="方正书宋_GBK"/>
              </w:rPr>
            </w:pPr>
          </w:p>
        </w:tc>
        <w:tc>
          <w:tcPr>
            <w:tcW w:w="330" w:type="pct"/>
            <w:shd w:val="clear" w:color="auto" w:fill="auto"/>
            <w:vAlign w:val="center"/>
          </w:tcPr>
          <w:p>
            <w:pPr>
              <w:spacing w:line="300" w:lineRule="exact"/>
              <w:jc w:val="right"/>
              <w:rPr>
                <w:rFonts w:ascii="方正书宋_GBK" w:eastAsia="方正书宋_GBK"/>
              </w:rPr>
            </w:pPr>
          </w:p>
        </w:tc>
        <w:tc>
          <w:tcPr>
            <w:tcW w:w="331" w:type="pct"/>
            <w:shd w:val="clear" w:color="auto" w:fill="auto"/>
            <w:vAlign w:val="center"/>
          </w:tcPr>
          <w:p>
            <w:pPr>
              <w:spacing w:line="300" w:lineRule="exact"/>
              <w:jc w:val="right"/>
              <w:rPr>
                <w:rFonts w:ascii="方正书宋_GBK" w:eastAsia="方正书宋_GBK"/>
              </w:rPr>
            </w:pPr>
            <w:r>
              <w:rPr>
                <w:rFonts w:ascii="方正书宋_GBK" w:eastAsia="方正书宋_GBK"/>
              </w:rPr>
              <w:t>5.00</w:t>
            </w:r>
          </w:p>
        </w:tc>
        <w:tc>
          <w:tcPr>
            <w:tcW w:w="331" w:type="pct"/>
            <w:shd w:val="clear" w:color="auto" w:fill="auto"/>
            <w:vAlign w:val="center"/>
          </w:tcPr>
          <w:p>
            <w:pPr>
              <w:spacing w:line="300" w:lineRule="exact"/>
              <w:jc w:val="right"/>
              <w:rPr>
                <w:rFonts w:ascii="方正书宋_GBK" w:eastAsia="方正书宋_GBK"/>
              </w:rPr>
            </w:pPr>
          </w:p>
        </w:tc>
        <w:tc>
          <w:tcPr>
            <w:tcW w:w="317" w:type="pct"/>
            <w:shd w:val="clear" w:color="auto" w:fill="auto"/>
            <w:vAlign w:val="center"/>
          </w:tcPr>
          <w:p>
            <w:pPr>
              <w:spacing w:line="300" w:lineRule="exact"/>
              <w:jc w:val="right"/>
              <w:rPr>
                <w:rFonts w:ascii="方正书宋_GBK" w:eastAsia="方正书宋_GBK"/>
              </w:rPr>
            </w:pPr>
          </w:p>
        </w:tc>
      </w:tr>
    </w:tbl>
    <w:p>
      <w:pPr>
        <w:spacing w:line="300" w:lineRule="exact"/>
        <w:jc w:val="left"/>
        <w:outlineLvl w:val="0"/>
        <w:sectPr>
          <w:pgSz w:w="16839" w:h="11907" w:orient="landscape"/>
          <w:pgMar w:top="1361" w:right="1020" w:bottom="1361" w:left="1020" w:header="851" w:footer="992" w:gutter="0"/>
          <w:cols w:space="425" w:num="1"/>
          <w:docGrid w:type="lines" w:linePitch="312" w:charSpace="0"/>
        </w:sectPr>
      </w:pPr>
    </w:p>
    <w:p>
      <w:pPr>
        <w:ind w:firstLine="645"/>
        <w:outlineLvl w:val="0"/>
        <w:rPr>
          <w:rFonts w:ascii="华文仿宋" w:hAnsi="华文仿宋" w:eastAsia="华文仿宋" w:cs="Times New Roman"/>
          <w:sz w:val="32"/>
          <w:szCs w:val="24"/>
        </w:rPr>
      </w:pPr>
    </w:p>
    <w:bookmarkEnd w:id="3"/>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rPr>
          <w:rFonts w:ascii="仿宋_GB2312" w:hAnsi="黑体" w:eastAsia="仿宋_GB2312" w:cs="Times New Roman"/>
          <w:sz w:val="32"/>
          <w:szCs w:val="32"/>
        </w:rPr>
      </w:pPr>
      <w:r>
        <w:rPr>
          <w:rFonts w:hint="eastAsia" w:ascii="仿宋_GB2312" w:hAnsi="黑体" w:eastAsia="仿宋_GB2312" w:cs="Times New Roman"/>
          <w:sz w:val="32"/>
          <w:szCs w:val="32"/>
        </w:rPr>
        <w:t>河北女子职业技术学院（含所属单位）上年末固定资产金额为8250.46万元（</w:t>
      </w:r>
      <w:r>
        <w:rPr>
          <w:rFonts w:hint="eastAsia" w:ascii="Times New Roman" w:hAnsi="Times New Roman" w:eastAsia="方正仿宋_GBK" w:cs="Times New Roman"/>
          <w:sz w:val="32"/>
          <w:szCs w:val="32"/>
        </w:rPr>
        <w:t>详见下表），</w:t>
      </w:r>
      <w:r>
        <w:rPr>
          <w:rFonts w:hint="eastAsia" w:ascii="仿宋_GB2312" w:hAnsi="黑体" w:eastAsia="仿宋_GB2312" w:cs="Times New Roman"/>
          <w:sz w:val="32"/>
          <w:szCs w:val="32"/>
        </w:rPr>
        <w:t>本年度各处室拟购置固定资产</w:t>
      </w:r>
      <w:r>
        <w:rPr>
          <w:rFonts w:hint="eastAsia" w:ascii="仿宋_GB2312" w:hAnsi="Times New Roman" w:eastAsia="仿宋_GB2312" w:cs="Times New Roman"/>
          <w:sz w:val="32"/>
          <w:szCs w:val="32"/>
        </w:rPr>
        <w:t>总额为578.89万元，</w:t>
      </w:r>
      <w:r>
        <w:rPr>
          <w:rFonts w:hint="eastAsia" w:ascii="仿宋_GB2312" w:hAnsi="黑体" w:eastAsia="仿宋_GB2312" w:cs="Times New Roman"/>
          <w:sz w:val="32"/>
          <w:szCs w:val="32"/>
        </w:rPr>
        <w:t>主要为实训设备购置、计算机设备购置、计算机软件购置等，已列入政府采购预算，详见政府采购预算表。</w:t>
      </w:r>
    </w:p>
    <w:tbl>
      <w:tblPr>
        <w:tblStyle w:val="8"/>
        <w:tblW w:w="13482" w:type="dxa"/>
        <w:tblInd w:w="93" w:type="dxa"/>
        <w:tblLayout w:type="fixed"/>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ascii="宋体" w:hAnsi="宋体" w:cs="宋体"/>
                <w:b/>
                <w:bCs/>
                <w:kern w:val="0"/>
                <w:sz w:val="32"/>
                <w:szCs w:val="32"/>
              </w:rPr>
            </w:pPr>
            <w:r>
              <w:rPr>
                <w:rFonts w:hint="eastAsia" w:ascii="宋体" w:hAnsi="宋体" w:cs="宋体"/>
                <w:b/>
                <w:bCs/>
                <w:kern w:val="0"/>
                <w:sz w:val="32"/>
                <w:szCs w:val="32"/>
              </w:rPr>
              <w:t>河北省省直部门固定资产占用情况表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ascii="宋体" w:hAnsi="宋体" w:cs="宋体"/>
                <w:kern w:val="0"/>
                <w:sz w:val="22"/>
              </w:rPr>
            </w:pPr>
            <w:r>
              <w:rPr>
                <w:rFonts w:hint="eastAsia" w:ascii="宋体" w:hAnsi="宋体" w:cs="宋体"/>
                <w:kern w:val="0"/>
                <w:sz w:val="22"/>
              </w:rPr>
              <w:t>编制部门：河北女子职业技术学院</w:t>
            </w:r>
          </w:p>
        </w:tc>
        <w:tc>
          <w:tcPr>
            <w:tcW w:w="5103" w:type="dxa"/>
            <w:tcBorders>
              <w:top w:val="nil"/>
              <w:left w:val="nil"/>
              <w:bottom w:val="nil"/>
              <w:right w:val="nil"/>
            </w:tcBorders>
            <w:vAlign w:val="center"/>
          </w:tcPr>
          <w:p>
            <w:pPr>
              <w:widowControl/>
              <w:jc w:val="left"/>
              <w:rPr>
                <w:rFonts w:ascii="宋体" w:hAnsi="宋体" w:cs="宋体"/>
                <w:kern w:val="0"/>
                <w:sz w:val="22"/>
              </w:rPr>
            </w:pPr>
            <w:r>
              <w:rPr>
                <w:rFonts w:hint="eastAsia" w:ascii="宋体" w:hAnsi="宋体" w:cs="宋体"/>
                <w:kern w:val="0"/>
                <w:sz w:val="22"/>
              </w:rPr>
              <w:t xml:space="preserve">截止时间：2018年12月31日  </w:t>
            </w:r>
          </w:p>
        </w:tc>
      </w:tr>
      <w:tr>
        <w:tblPrEx>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   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8250.46</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1、房屋（平方米）</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17388</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652.07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xml:space="preserve">   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17388</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652.07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2、车辆（台、辆）</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4</w:t>
            </w: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101.67</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3、单价在20万元以上的设备</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983.83</w:t>
            </w:r>
          </w:p>
        </w:tc>
      </w:tr>
      <w:tr>
        <w:tblPrEx>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4、其他固定资产</w:t>
            </w:r>
          </w:p>
        </w:tc>
        <w:tc>
          <w:tcPr>
            <w:tcW w:w="3155"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p>
        </w:tc>
        <w:tc>
          <w:tcPr>
            <w:tcW w:w="5103" w:type="dxa"/>
            <w:tcBorders>
              <w:top w:val="nil"/>
              <w:left w:val="nil"/>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6512.89</w:t>
            </w:r>
          </w:p>
        </w:tc>
      </w:tr>
    </w:tbl>
    <w:p>
      <w:pPr>
        <w:rPr>
          <w:rFonts w:ascii="仿宋_GB2312" w:hAnsi="黑体" w:eastAsia="仿宋_GB2312" w:cs="Times New Roman"/>
          <w:color w:val="FF0000"/>
          <w:sz w:val="32"/>
          <w:szCs w:val="32"/>
        </w:rPr>
      </w:pP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adjustRightInd w:val="0"/>
        <w:snapToGrid w:val="0"/>
        <w:spacing w:line="520" w:lineRule="exact"/>
        <w:ind w:firstLine="601" w:firstLineChars="200"/>
        <w:rPr>
          <w:rFonts w:ascii="华文仿宋" w:hAnsi="华文仿宋" w:eastAsia="华文仿宋" w:cs="Arial"/>
          <w:sz w:val="30"/>
          <w:szCs w:val="30"/>
          <w:shd w:val="clear" w:color="auto" w:fill="FFFFFF"/>
        </w:rPr>
      </w:pPr>
      <w:r>
        <w:rPr>
          <w:rFonts w:hint="eastAsia" w:ascii="华文仿宋" w:hAnsi="华文仿宋" w:eastAsia="华文仿宋" w:cs="Times New Roman"/>
          <w:b/>
          <w:sz w:val="30"/>
          <w:szCs w:val="30"/>
        </w:rPr>
        <w:t>（一）公共财政预算拨款：</w:t>
      </w:r>
      <w:r>
        <w:rPr>
          <w:rFonts w:hint="eastAsia" w:ascii="华文仿宋" w:hAnsi="华文仿宋" w:eastAsia="华文仿宋" w:cs="Arial"/>
          <w:sz w:val="30"/>
          <w:szCs w:val="30"/>
          <w:shd w:val="clear" w:color="auto" w:fill="FFFFFF"/>
        </w:rPr>
        <w:t>是指事业单位直接从财政部门取得的和通过主管部门从财政部门取得的各类事业经费，包括正常经费和专项资金。</w:t>
      </w:r>
    </w:p>
    <w:p>
      <w:pPr>
        <w:adjustRightInd w:val="0"/>
        <w:snapToGrid w:val="0"/>
        <w:spacing w:line="520" w:lineRule="exact"/>
        <w:ind w:firstLine="601" w:firstLineChars="200"/>
        <w:rPr>
          <w:rFonts w:ascii="华文仿宋" w:hAnsi="华文仿宋" w:eastAsia="华文仿宋" w:cs="Arial"/>
          <w:sz w:val="30"/>
          <w:szCs w:val="30"/>
          <w:shd w:val="clear" w:color="auto" w:fill="FFFFFF"/>
        </w:rPr>
      </w:pPr>
      <w:r>
        <w:rPr>
          <w:rFonts w:hint="eastAsia" w:ascii="华文仿宋" w:hAnsi="华文仿宋" w:eastAsia="华文仿宋" w:cs="Times New Roman"/>
          <w:b/>
          <w:sz w:val="30"/>
          <w:szCs w:val="30"/>
        </w:rPr>
        <w:t>（二）项目支出</w:t>
      </w:r>
      <w:r>
        <w:rPr>
          <w:rFonts w:hint="eastAsia" w:ascii="华文仿宋" w:hAnsi="华文仿宋" w:eastAsia="华文仿宋" w:cs="Times New Roman"/>
          <w:sz w:val="30"/>
          <w:szCs w:val="30"/>
        </w:rPr>
        <w:t>：</w:t>
      </w:r>
      <w:r>
        <w:rPr>
          <w:rFonts w:hint="eastAsia" w:ascii="华文仿宋" w:hAnsi="华文仿宋" w:eastAsia="华文仿宋" w:cs="Arial"/>
          <w:sz w:val="30"/>
          <w:szCs w:val="30"/>
          <w:shd w:val="clear" w:color="auto" w:fill="FFFFFF"/>
        </w:rPr>
        <w:t xml:space="preserve">行政事业单位为完成特定的工作任务或事业发展目标，在基本的预算支出以外，财政预算专项安排的支出。 </w:t>
      </w:r>
    </w:p>
    <w:p>
      <w:pPr>
        <w:adjustRightInd w:val="0"/>
        <w:snapToGrid w:val="0"/>
        <w:spacing w:line="520" w:lineRule="exact"/>
        <w:ind w:firstLine="601" w:firstLineChars="200"/>
        <w:rPr>
          <w:rFonts w:ascii="华文仿宋" w:hAnsi="华文仿宋" w:eastAsia="华文仿宋" w:cs="Arial"/>
          <w:sz w:val="30"/>
          <w:szCs w:val="30"/>
          <w:shd w:val="clear" w:color="auto" w:fill="FFFFFF"/>
        </w:rPr>
      </w:pPr>
      <w:r>
        <w:rPr>
          <w:rFonts w:hint="eastAsia" w:ascii="华文仿宋" w:hAnsi="华文仿宋" w:eastAsia="华文仿宋" w:cs="Arial"/>
          <w:b/>
          <w:sz w:val="30"/>
          <w:szCs w:val="30"/>
          <w:shd w:val="clear" w:color="auto" w:fill="FFFFFF"/>
        </w:rPr>
        <w:t>（三）“三公”经费：</w:t>
      </w:r>
      <w:r>
        <w:rPr>
          <w:rFonts w:hint="eastAsia" w:ascii="华文仿宋" w:hAnsi="华文仿宋" w:eastAsia="华文仿宋" w:cs="Arial"/>
          <w:sz w:val="30"/>
          <w:szCs w:val="30"/>
          <w:shd w:val="clear" w:color="auto" w:fill="FFFFFF"/>
        </w:rPr>
        <w:t>纳入省级财政预决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tabs>
          <w:tab w:val="left" w:pos="11490"/>
        </w:tabs>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（四）</w:t>
      </w:r>
      <w:r>
        <w:rPr>
          <w:rFonts w:ascii="华文仿宋" w:hAnsi="华文仿宋" w:eastAsia="华文仿宋" w:cs="Times New Roman"/>
          <w:b/>
          <w:sz w:val="32"/>
          <w:szCs w:val="32"/>
        </w:rPr>
        <w:t>事业收入：</w:t>
      </w:r>
      <w:r>
        <w:rPr>
          <w:rFonts w:ascii="华文仿宋" w:hAnsi="华文仿宋" w:eastAsia="华文仿宋" w:cs="Times New Roman"/>
          <w:sz w:val="32"/>
          <w:szCs w:val="32"/>
        </w:rPr>
        <w:t>指事业单位开展专业业务活动及辅助活动所取得的收入。</w:t>
      </w:r>
    </w:p>
    <w:p>
      <w:pPr>
        <w:tabs>
          <w:tab w:val="left" w:pos="11490"/>
        </w:tabs>
        <w:ind w:firstLine="641" w:firstLineChars="200"/>
        <w:rPr>
          <w:rFonts w:ascii="华文仿宋" w:hAnsi="华文仿宋" w:eastAsia="华文仿宋" w:cs="Times New Roman"/>
          <w:sz w:val="32"/>
          <w:szCs w:val="32"/>
        </w:rPr>
      </w:pPr>
      <w:r>
        <w:rPr>
          <w:rFonts w:hint="eastAsia" w:ascii="华文仿宋" w:hAnsi="华文仿宋" w:eastAsia="华文仿宋" w:cs="Times New Roman"/>
          <w:b/>
          <w:sz w:val="32"/>
          <w:szCs w:val="32"/>
        </w:rPr>
        <w:t>（五）</w:t>
      </w:r>
      <w:r>
        <w:rPr>
          <w:rFonts w:ascii="华文仿宋" w:hAnsi="华文仿宋" w:eastAsia="华文仿宋" w:cs="Times New Roman"/>
          <w:b/>
          <w:sz w:val="32"/>
          <w:szCs w:val="32"/>
        </w:rPr>
        <w:t>基本支出：</w:t>
      </w:r>
      <w:r>
        <w:rPr>
          <w:rFonts w:hint="eastAsia" w:ascii="华文仿宋" w:hAnsi="华文仿宋" w:eastAsia="华文仿宋" w:cs="Times New Roman"/>
          <w:sz w:val="32"/>
          <w:szCs w:val="32"/>
        </w:rPr>
        <w:t>指为保障机构正常运转、完成日常工作任务而发生的人员支出和公用支出。</w:t>
      </w:r>
    </w:p>
    <w:p>
      <w:pPr>
        <w:tabs>
          <w:tab w:val="left" w:pos="11490"/>
        </w:tabs>
        <w:ind w:firstLine="801" w:firstLineChars="250"/>
        <w:rPr>
          <w:rFonts w:ascii="华文仿宋" w:hAnsi="华文仿宋" w:eastAsia="华文仿宋" w:cs="Times New Roman"/>
          <w:sz w:val="32"/>
          <w:szCs w:val="32"/>
        </w:rPr>
      </w:pPr>
      <w:r>
        <w:rPr>
          <w:rFonts w:hint="eastAsia" w:ascii="华文仿宋" w:hAnsi="华文仿宋" w:eastAsia="华文仿宋" w:cs="Times New Roman"/>
          <w:b/>
          <w:sz w:val="32"/>
          <w:szCs w:val="32"/>
        </w:rPr>
        <w:t>（六）</w:t>
      </w:r>
      <w:r>
        <w:rPr>
          <w:rFonts w:ascii="华文仿宋" w:hAnsi="华文仿宋" w:eastAsia="华文仿宋" w:cs="Times New Roman"/>
          <w:b/>
          <w:sz w:val="32"/>
          <w:szCs w:val="32"/>
        </w:rPr>
        <w:t>机关运行费：</w:t>
      </w:r>
      <w:r>
        <w:rPr>
          <w:rFonts w:hint="eastAsia" w:ascii="华文仿宋" w:hAnsi="华文仿宋" w:eastAsia="华文仿宋" w:cs="Times New Roman"/>
          <w:sz w:val="32"/>
          <w:szCs w:val="32"/>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left="198" w:firstLine="640" w:firstLineChars="200"/>
        <w:jc w:val="left"/>
        <w:rPr>
          <w:rFonts w:ascii="仿宋_GB2312" w:hAnsi="Times New Roman" w:eastAsia="仿宋_GB2312" w:cs="Times New Roman"/>
          <w:sz w:val="32"/>
          <w:szCs w:val="32"/>
        </w:rPr>
      </w:pPr>
      <w:r>
        <w:rPr>
          <w:rFonts w:hint="eastAsia" w:ascii="黑体" w:hAnsi="黑体" w:eastAsia="黑体" w:cs="Times New Roman"/>
          <w:sz w:val="32"/>
          <w:szCs w:val="32"/>
        </w:rPr>
        <w:t>九、其他需要说明的事项：</w:t>
      </w:r>
      <w:r>
        <w:rPr>
          <w:rFonts w:hint="eastAsia" w:ascii="华文仿宋" w:hAnsi="华文仿宋" w:eastAsia="华文仿宋"/>
          <w:sz w:val="30"/>
          <w:szCs w:val="30"/>
        </w:rPr>
        <w:t>我院属于教育办学机构，无政府基金收支以及国有资本经营预算财政拨款支出情况，特此说明。</w:t>
      </w:r>
      <w:r>
        <w:rPr>
          <w:rFonts w:ascii="华文仿宋" w:hAnsi="华文仿宋" w:eastAsia="华文仿宋"/>
          <w:sz w:val="30"/>
          <w:szCs w:val="30"/>
        </w:rPr>
        <w:br w:type="textWrapping"/>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方正楷体_GBK">
    <w:altName w:val="Arial Unicode MS"/>
    <w:panose1 w:val="00000000000000000000"/>
    <w:charset w:val="86"/>
    <w:family w:val="script"/>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separate"/>
    </w:r>
    <w:r>
      <w:rPr>
        <w:rStyle w:val="10"/>
      </w:rPr>
      <w:t>5</w:t>
    </w:r>
    <w:r>
      <w:rPr>
        <w:rStyle w:val="10"/>
      </w:rPr>
      <w:fldChar w:fldCharType="end"/>
    </w:r>
  </w:p>
  <w:p>
    <w:pPr>
      <w:pStyle w:val="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pPr>
      <w:r>
        <w:rPr>
          <w:rStyle w:val="11"/>
        </w:rPr>
        <w:sym w:font="Symbol" w:char="F020"/>
      </w:r>
      <w:r>
        <w:rPr>
          <w:rFonts w:hint="eastAsia" w:ascii="方正楷体_GBK" w:eastAsia="方正楷体_GBK"/>
          <w:sz w:val="24"/>
        </w:rPr>
        <w:t>备注：表中的年度预算数为项目支出，部门工作活动虽未安排项目支出，但由基本支出的保障，由于基本支出无法拆分到相应的工作活动，因此部分工作活动没有列示年度预算数。</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iOTE2YTJjOTA3OTJlMmRiMjEwNGNjNGI5NjZmOWEifQ=="/>
    <w:docVar w:name="KSO_WPS_MARK_KEY" w:val="35bdd0d3-9476-4941-abd2-0e4bfeee2e01"/>
  </w:docVars>
  <w:rsids>
    <w:rsidRoot w:val="0006791E"/>
    <w:rsid w:val="0006791E"/>
    <w:rsid w:val="00164C52"/>
    <w:rsid w:val="0019207C"/>
    <w:rsid w:val="0026247E"/>
    <w:rsid w:val="002656DE"/>
    <w:rsid w:val="00265AC7"/>
    <w:rsid w:val="002A30EF"/>
    <w:rsid w:val="002A6BFF"/>
    <w:rsid w:val="00486D43"/>
    <w:rsid w:val="004951E0"/>
    <w:rsid w:val="004C13A6"/>
    <w:rsid w:val="004D6187"/>
    <w:rsid w:val="00564657"/>
    <w:rsid w:val="00565922"/>
    <w:rsid w:val="005920C9"/>
    <w:rsid w:val="00671776"/>
    <w:rsid w:val="00673615"/>
    <w:rsid w:val="006863BF"/>
    <w:rsid w:val="008870A3"/>
    <w:rsid w:val="0089041C"/>
    <w:rsid w:val="008C7772"/>
    <w:rsid w:val="00937BB3"/>
    <w:rsid w:val="00B23408"/>
    <w:rsid w:val="00C863EF"/>
    <w:rsid w:val="00D16814"/>
    <w:rsid w:val="00DB5AA1"/>
    <w:rsid w:val="00E6658C"/>
    <w:rsid w:val="00EE614B"/>
    <w:rsid w:val="4FCC57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uiPriority w:val="0"/>
    <w:rPr>
      <w:sz w:val="18"/>
      <w:szCs w:val="18"/>
    </w:rPr>
  </w:style>
  <w:style w:type="paragraph" w:styleId="3">
    <w:name w:val="footer"/>
    <w:basedOn w:val="1"/>
    <w:link w:val="13"/>
    <w:uiPriority w:val="99"/>
    <w:pPr>
      <w:tabs>
        <w:tab w:val="center" w:pos="4153"/>
        <w:tab w:val="right" w:pos="8306"/>
      </w:tabs>
      <w:snapToGrid w:val="0"/>
      <w:jc w:val="left"/>
    </w:pPr>
    <w:rPr>
      <w:rFonts w:ascii="Times New Roman" w:hAnsi="Times New Roman" w:cs="Times New Roman"/>
      <w:sz w:val="18"/>
      <w:szCs w:val="18"/>
    </w:rPr>
  </w:style>
  <w:style w:type="paragraph" w:styleId="4">
    <w:name w:val="header"/>
    <w:basedOn w:val="1"/>
    <w:link w:val="14"/>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5">
    <w:name w:val="toc 1"/>
    <w:basedOn w:val="1"/>
    <w:next w:val="1"/>
    <w:uiPriority w:val="0"/>
    <w:rPr>
      <w:rFonts w:ascii="Times New Roman" w:hAnsi="Times New Roman" w:cs="Times New Roman"/>
      <w:szCs w:val="24"/>
    </w:rPr>
  </w:style>
  <w:style w:type="paragraph" w:styleId="6">
    <w:name w:val="footnote text"/>
    <w:basedOn w:val="1"/>
    <w:link w:val="16"/>
    <w:semiHidden/>
    <w:unhideWhenUsed/>
    <w:qFormat/>
    <w:uiPriority w:val="99"/>
    <w:pPr>
      <w:snapToGrid w:val="0"/>
      <w:jc w:val="left"/>
    </w:pPr>
    <w:rPr>
      <w:rFonts w:cs="Times New Roman"/>
      <w:kern w:val="0"/>
      <w:sz w:val="18"/>
      <w:szCs w:val="18"/>
    </w:rPr>
  </w:style>
  <w:style w:type="paragraph" w:styleId="7">
    <w:name w:val="toc 2"/>
    <w:basedOn w:val="1"/>
    <w:next w:val="1"/>
    <w:uiPriority w:val="0"/>
    <w:pPr>
      <w:ind w:left="420" w:leftChars="200"/>
    </w:pPr>
    <w:rPr>
      <w:rFonts w:ascii="Times New Roman" w:hAnsi="Times New Roman" w:cs="Times New Roman"/>
      <w:szCs w:val="24"/>
    </w:rPr>
  </w:style>
  <w:style w:type="character" w:styleId="10">
    <w:name w:val="page number"/>
    <w:semiHidden/>
    <w:unhideWhenUsed/>
    <w:uiPriority w:val="99"/>
  </w:style>
  <w:style w:type="character" w:styleId="11">
    <w:name w:val="footnote reference"/>
    <w:semiHidden/>
    <w:unhideWhenUsed/>
    <w:uiPriority w:val="99"/>
    <w:rPr>
      <w:vertAlign w:val="superscript"/>
    </w:rPr>
  </w:style>
  <w:style w:type="character" w:customStyle="1" w:styleId="12">
    <w:name w:val="批注框文本 Char"/>
    <w:link w:val="2"/>
    <w:semiHidden/>
    <w:uiPriority w:val="0"/>
    <w:rPr>
      <w:sz w:val="18"/>
      <w:szCs w:val="18"/>
    </w:rPr>
  </w:style>
  <w:style w:type="character" w:customStyle="1" w:styleId="13">
    <w:name w:val="页脚 Char"/>
    <w:link w:val="3"/>
    <w:uiPriority w:val="99"/>
    <w:rPr>
      <w:rFonts w:ascii="Times New Roman" w:hAnsi="Times New Roman" w:eastAsia="宋体" w:cs="Times New Roman"/>
      <w:sz w:val="18"/>
      <w:szCs w:val="18"/>
    </w:rPr>
  </w:style>
  <w:style w:type="character" w:customStyle="1" w:styleId="14">
    <w:name w:val="页眉 Char"/>
    <w:link w:val="4"/>
    <w:semiHidden/>
    <w:uiPriority w:val="0"/>
    <w:rPr>
      <w:rFonts w:ascii="Times New Roman" w:hAnsi="Times New Roman" w:eastAsia="宋体" w:cs="Times New Roman"/>
      <w:sz w:val="18"/>
      <w:szCs w:val="18"/>
    </w:rPr>
  </w:style>
  <w:style w:type="paragraph" w:customStyle="1" w:styleId="1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6">
    <w:name w:val="脚注文本 Char"/>
    <w:link w:val="6"/>
    <w:semiHidden/>
    <w:qFormat/>
    <w:uiPriority w:val="99"/>
    <w:rPr>
      <w:rFonts w:ascii="Calibri" w:hAnsi="Calibri"/>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17</Pages>
  <Words>5815</Words>
  <Characters>7264</Characters>
  <Lines>58</Lines>
  <Paragraphs>16</Paragraphs>
  <TotalTime>5</TotalTime>
  <ScaleCrop>false</ScaleCrop>
  <LinksUpToDate>false</LinksUpToDate>
  <CharactersWithSpaces>7308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2021-04-19T07:38:00Z</dcterms:created>
  <dc:creator>guest</dc:creator>
  <cp:lastModifiedBy>刚子</cp:lastModifiedBy>
  <cp:lastPrinted>2019-01-22T08:39:00Z</cp:lastPrinted>
  <dcterms:modified xsi:type="dcterms:W3CDTF">2024-01-19T01:33:40Z</dcterms:modified>
  <dc:title>user</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F6FC195DE69D49089C8EC49D5866BF2D</vt:lpwstr>
  </property>
</Properties>
</file>